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160"/>
        <w:gridCol w:w="5160"/>
        <w:gridCol w:w="1259"/>
        <w:gridCol w:w="1116"/>
      </w:tblGrid>
      <w:tr w:rsidR="00036A4C" w14:paraId="7670B6F4" w14:textId="77777777">
        <w:trPr>
          <w:trHeight w:val="270"/>
        </w:trPr>
        <w:tc>
          <w:tcPr>
            <w:tcW w:w="0" w:type="auto"/>
            <w:gridSpan w:val="4"/>
            <w:noWrap/>
            <w:tcMar>
              <w:top w:w="0" w:type="dxa"/>
              <w:left w:w="108" w:type="dxa"/>
              <w:bottom w:w="0" w:type="dxa"/>
              <w:right w:w="108" w:type="dxa"/>
            </w:tcMar>
            <w:vAlign w:val="bottom"/>
            <w:hideMark/>
          </w:tcPr>
          <w:p w14:paraId="463B9284" w14:textId="77777777" w:rsidR="00036A4C" w:rsidRDefault="00C400C1">
            <w:pPr>
              <w:jc w:val="right"/>
              <w:rPr>
                <w:rFonts w:ascii="Times New Roman" w:eastAsia="Times New Roman" w:hAnsi="Times New Roman" w:cs="Times New Roman"/>
                <w:sz w:val="24"/>
              </w:rPr>
            </w:pPr>
            <w:r>
              <w:rPr>
                <w:rFonts w:ascii="Times New Roman" w:eastAsia="Times New Roman" w:hAnsi="Times New Roman" w:cs="Times New Roman"/>
                <w:sz w:val="20"/>
                <w:szCs w:val="20"/>
              </w:rPr>
              <w:t xml:space="preserve">Утв. приказом Минфина РФ </w:t>
            </w:r>
            <w:r>
              <w:rPr>
                <w:rFonts w:ascii="Times New Roman" w:eastAsia="Times New Roman" w:hAnsi="Times New Roman" w:cs="Times New Roman"/>
                <w:sz w:val="20"/>
                <w:szCs w:val="20"/>
              </w:rPr>
              <w:br/>
              <w:t xml:space="preserve">от 28 декабря 2010 г. № 191н </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(в ред. от 31 декабря 2015 г.)</w:t>
            </w:r>
          </w:p>
        </w:tc>
      </w:tr>
      <w:tr w:rsidR="00036A4C" w14:paraId="6288856E" w14:textId="77777777">
        <w:trPr>
          <w:trHeight w:val="270"/>
        </w:trPr>
        <w:tc>
          <w:tcPr>
            <w:tcW w:w="0" w:type="auto"/>
            <w:gridSpan w:val="2"/>
            <w:noWrap/>
            <w:tcMar>
              <w:top w:w="0" w:type="dxa"/>
              <w:left w:w="108" w:type="dxa"/>
              <w:bottom w:w="0" w:type="dxa"/>
              <w:right w:w="108" w:type="dxa"/>
            </w:tcMar>
            <w:vAlign w:val="bottom"/>
            <w:hideMark/>
          </w:tcPr>
          <w:p w14:paraId="5D27B49C"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7"/>
                <w:szCs w:val="27"/>
              </w:rPr>
              <w:t>ПОЯСНИТЕЛЬНАЯ ЗАПИСКА</w:t>
            </w:r>
          </w:p>
        </w:tc>
        <w:tc>
          <w:tcPr>
            <w:tcW w:w="0" w:type="auto"/>
            <w:tcMar>
              <w:top w:w="0" w:type="dxa"/>
              <w:left w:w="108" w:type="dxa"/>
              <w:bottom w:w="0" w:type="dxa"/>
              <w:right w:w="108" w:type="dxa"/>
            </w:tcMar>
            <w:vAlign w:val="center"/>
            <w:hideMark/>
          </w:tcPr>
          <w:p w14:paraId="5748BC2E" w14:textId="77777777" w:rsidR="00036A4C" w:rsidRDefault="00036A4C">
            <w:pPr>
              <w:rPr>
                <w:sz w:val="24"/>
              </w:rPr>
            </w:pPr>
          </w:p>
        </w:tc>
        <w:tc>
          <w:tcPr>
            <w:tcW w:w="0" w:type="auto"/>
            <w:tcMar>
              <w:top w:w="0" w:type="dxa"/>
              <w:left w:w="108" w:type="dxa"/>
              <w:bottom w:w="0" w:type="dxa"/>
              <w:right w:w="108" w:type="dxa"/>
            </w:tcMar>
            <w:vAlign w:val="center"/>
            <w:hideMark/>
          </w:tcPr>
          <w:p w14:paraId="1C68260D" w14:textId="77777777" w:rsidR="00036A4C" w:rsidRDefault="00036A4C">
            <w:pPr>
              <w:rPr>
                <w:sz w:val="24"/>
              </w:rPr>
            </w:pPr>
          </w:p>
        </w:tc>
      </w:tr>
      <w:tr w:rsidR="00036A4C" w14:paraId="54DD3034" w14:textId="77777777">
        <w:trPr>
          <w:trHeight w:val="255"/>
        </w:trPr>
        <w:tc>
          <w:tcPr>
            <w:tcW w:w="0" w:type="auto"/>
            <w:gridSpan w:val="2"/>
            <w:noWrap/>
            <w:tcMar>
              <w:top w:w="0" w:type="dxa"/>
              <w:left w:w="108" w:type="dxa"/>
              <w:bottom w:w="0" w:type="dxa"/>
              <w:right w:w="108" w:type="dxa"/>
            </w:tcMar>
            <w:vAlign w:val="bottom"/>
            <w:hideMark/>
          </w:tcPr>
          <w:p w14:paraId="2A73BC75"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4"/>
                <w:szCs w:val="24"/>
              </w:rPr>
              <w:t>к отчету об исполнении консолидированного бюджета</w:t>
            </w:r>
          </w:p>
        </w:tc>
        <w:tc>
          <w:tcPr>
            <w:tcW w:w="0" w:type="auto"/>
            <w:noWrap/>
            <w:tcMar>
              <w:top w:w="0" w:type="dxa"/>
              <w:left w:w="108" w:type="dxa"/>
              <w:bottom w:w="0" w:type="dxa"/>
              <w:right w:w="108" w:type="dxa"/>
            </w:tcMar>
            <w:vAlign w:val="bottom"/>
            <w:hideMark/>
          </w:tcPr>
          <w:p w14:paraId="351192C5"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7E38673B"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КОДЫ</w:t>
            </w:r>
          </w:p>
        </w:tc>
      </w:tr>
      <w:tr w:rsidR="00036A4C" w14:paraId="0164A635" w14:textId="77777777">
        <w:trPr>
          <w:trHeight w:val="282"/>
        </w:trPr>
        <w:tc>
          <w:tcPr>
            <w:tcW w:w="0" w:type="auto"/>
            <w:tcMar>
              <w:top w:w="0" w:type="dxa"/>
              <w:left w:w="108" w:type="dxa"/>
              <w:bottom w:w="0" w:type="dxa"/>
              <w:right w:w="108" w:type="dxa"/>
            </w:tcMar>
            <w:vAlign w:val="center"/>
            <w:hideMark/>
          </w:tcPr>
          <w:p w14:paraId="448F18C7" w14:textId="77777777" w:rsidR="00036A4C" w:rsidRDefault="00036A4C">
            <w:pPr>
              <w:rPr>
                <w:sz w:val="24"/>
              </w:rPr>
            </w:pPr>
          </w:p>
        </w:tc>
        <w:tc>
          <w:tcPr>
            <w:tcW w:w="0" w:type="auto"/>
            <w:gridSpan w:val="2"/>
            <w:noWrap/>
            <w:tcMar>
              <w:top w:w="0" w:type="dxa"/>
              <w:left w:w="108" w:type="dxa"/>
              <w:bottom w:w="0" w:type="dxa"/>
              <w:right w:w="108" w:type="dxa"/>
            </w:tcMar>
            <w:vAlign w:val="bottom"/>
            <w:hideMark/>
          </w:tcPr>
          <w:p w14:paraId="40B6549F" w14:textId="77777777" w:rsidR="00036A4C" w:rsidRDefault="00C400C1">
            <w:pPr>
              <w:jc w:val="right"/>
              <w:rPr>
                <w:rFonts w:ascii="Times New Roman" w:eastAsia="Times New Roman" w:hAnsi="Times New Roman" w:cs="Times New Roman"/>
                <w:sz w:val="24"/>
              </w:rPr>
            </w:pPr>
            <w:r>
              <w:rPr>
                <w:rFonts w:ascii="Times New Roman" w:eastAsia="Times New Roman" w:hAnsi="Times New Roman" w:cs="Times New Roman"/>
                <w:sz w:val="20"/>
                <w:szCs w:val="20"/>
              </w:rPr>
              <w:t>Форма по ОКУД</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2DD938CC"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0503360</w:t>
            </w:r>
          </w:p>
        </w:tc>
      </w:tr>
      <w:tr w:rsidR="00036A4C" w14:paraId="489A4BC7" w14:textId="77777777">
        <w:trPr>
          <w:trHeight w:val="282"/>
        </w:trPr>
        <w:tc>
          <w:tcPr>
            <w:tcW w:w="0" w:type="auto"/>
            <w:gridSpan w:val="2"/>
            <w:noWrap/>
            <w:tcMar>
              <w:top w:w="0" w:type="dxa"/>
              <w:left w:w="108" w:type="dxa"/>
              <w:bottom w:w="0" w:type="dxa"/>
              <w:right w:w="108" w:type="dxa"/>
            </w:tcMar>
            <w:vAlign w:val="bottom"/>
            <w:hideMark/>
          </w:tcPr>
          <w:p w14:paraId="0D48E64C"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на   1 января 2023 г.</w:t>
            </w:r>
          </w:p>
        </w:tc>
        <w:tc>
          <w:tcPr>
            <w:tcW w:w="0" w:type="auto"/>
            <w:noWrap/>
            <w:tcMar>
              <w:top w:w="0" w:type="dxa"/>
              <w:left w:w="108" w:type="dxa"/>
              <w:bottom w:w="0" w:type="dxa"/>
              <w:right w:w="108" w:type="dxa"/>
            </w:tcMar>
            <w:vAlign w:val="bottom"/>
            <w:hideMark/>
          </w:tcPr>
          <w:p w14:paraId="40B79713" w14:textId="77777777" w:rsidR="00036A4C" w:rsidRDefault="00C400C1">
            <w:pPr>
              <w:jc w:val="right"/>
              <w:rPr>
                <w:rFonts w:ascii="Times New Roman" w:eastAsia="Times New Roman" w:hAnsi="Times New Roman" w:cs="Times New Roman"/>
                <w:sz w:val="24"/>
              </w:rPr>
            </w:pPr>
            <w:r>
              <w:rPr>
                <w:rFonts w:ascii="Times New Roman" w:eastAsia="Times New Roman" w:hAnsi="Times New Roman" w:cs="Times New Roman"/>
                <w:sz w:val="20"/>
                <w:szCs w:val="20"/>
              </w:rPr>
              <w:t> Дата</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5E2B9259"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sz w:val="20"/>
                <w:szCs w:val="20"/>
              </w:rPr>
              <w:t>01.01.2023</w:t>
            </w:r>
          </w:p>
        </w:tc>
      </w:tr>
      <w:tr w:rsidR="00036A4C" w14:paraId="47F45E1C" w14:textId="77777777">
        <w:trPr>
          <w:trHeight w:val="300"/>
        </w:trPr>
        <w:tc>
          <w:tcPr>
            <w:tcW w:w="0" w:type="auto"/>
            <w:gridSpan w:val="3"/>
            <w:noWrap/>
            <w:tcMar>
              <w:top w:w="0" w:type="dxa"/>
              <w:left w:w="108" w:type="dxa"/>
              <w:bottom w:w="0" w:type="dxa"/>
              <w:right w:w="108" w:type="dxa"/>
            </w:tcMar>
            <w:vAlign w:val="bottom"/>
            <w:hideMark/>
          </w:tcPr>
          <w:p w14:paraId="6259FD43"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3155E9BA"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036A4C" w14:paraId="570EDAD7" w14:textId="77777777">
        <w:trPr>
          <w:trHeight w:val="195"/>
        </w:trPr>
        <w:tc>
          <w:tcPr>
            <w:tcW w:w="0" w:type="auto"/>
            <w:gridSpan w:val="3"/>
            <w:noWrap/>
            <w:tcMar>
              <w:top w:w="0" w:type="dxa"/>
              <w:left w:w="108" w:type="dxa"/>
              <w:bottom w:w="0" w:type="dxa"/>
              <w:right w:w="108" w:type="dxa"/>
            </w:tcMar>
            <w:vAlign w:val="bottom"/>
            <w:hideMark/>
          </w:tcPr>
          <w:p w14:paraId="04CB3456" w14:textId="77777777" w:rsidR="00036A4C" w:rsidRDefault="00C400C1">
            <w:pPr>
              <w:jc w:val="right"/>
              <w:rPr>
                <w:rFonts w:ascii="Times New Roman" w:eastAsia="Times New Roman" w:hAnsi="Times New Roman" w:cs="Times New Roman"/>
                <w:sz w:val="24"/>
              </w:rPr>
            </w:pPr>
            <w:r>
              <w:rPr>
                <w:rFonts w:ascii="Times New Roman" w:eastAsia="Times New Roman" w:hAnsi="Times New Roman" w:cs="Times New Roman"/>
                <w:sz w:val="20"/>
                <w:szCs w:val="20"/>
              </w:rPr>
              <w:t>по ОКПО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02A38AC2"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sz w:val="20"/>
                <w:szCs w:val="20"/>
              </w:rPr>
              <w:t>84577153</w:t>
            </w:r>
          </w:p>
        </w:tc>
      </w:tr>
      <w:tr w:rsidR="00036A4C" w14:paraId="41D37BA2" w14:textId="77777777">
        <w:trPr>
          <w:trHeight w:val="150"/>
        </w:trPr>
        <w:tc>
          <w:tcPr>
            <w:tcW w:w="0" w:type="auto"/>
            <w:gridSpan w:val="2"/>
            <w:tcMar>
              <w:top w:w="0" w:type="dxa"/>
              <w:left w:w="108" w:type="dxa"/>
              <w:bottom w:w="0" w:type="dxa"/>
              <w:right w:w="108" w:type="dxa"/>
            </w:tcMar>
            <w:vAlign w:val="bottom"/>
            <w:hideMark/>
          </w:tcPr>
          <w:p w14:paraId="6FEE43F2"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Наименование финансового органа Финансовое управление администрации Кильмезского района Кировской области</w:t>
            </w:r>
          </w:p>
        </w:tc>
        <w:tc>
          <w:tcPr>
            <w:tcW w:w="0" w:type="auto"/>
            <w:noWrap/>
            <w:tcMar>
              <w:top w:w="0" w:type="dxa"/>
              <w:left w:w="108" w:type="dxa"/>
              <w:bottom w:w="0" w:type="dxa"/>
              <w:right w:w="108" w:type="dxa"/>
            </w:tcMar>
            <w:vAlign w:val="bottom"/>
            <w:hideMark/>
          </w:tcPr>
          <w:p w14:paraId="22B18397" w14:textId="77777777" w:rsidR="00036A4C" w:rsidRDefault="00C400C1">
            <w:pPr>
              <w:jc w:val="right"/>
              <w:rPr>
                <w:rFonts w:ascii="Times New Roman" w:eastAsia="Times New Roman" w:hAnsi="Times New Roman" w:cs="Times New Roman"/>
                <w:sz w:val="24"/>
              </w:rPr>
            </w:pPr>
            <w:r>
              <w:rPr>
                <w:rFonts w:ascii="Times New Roman" w:eastAsia="Times New Roman" w:hAnsi="Times New Roman" w:cs="Times New Roman"/>
                <w:sz w:val="20"/>
                <w:szCs w:val="20"/>
              </w:rPr>
              <w:t>Глава по БК</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0F120842"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sz w:val="20"/>
                <w:szCs w:val="20"/>
              </w:rPr>
              <w:t>912</w:t>
            </w:r>
          </w:p>
        </w:tc>
      </w:tr>
      <w:tr w:rsidR="00036A4C" w14:paraId="483ACF2B" w14:textId="77777777">
        <w:trPr>
          <w:trHeight w:val="220"/>
        </w:trPr>
        <w:tc>
          <w:tcPr>
            <w:tcW w:w="0" w:type="auto"/>
            <w:gridSpan w:val="2"/>
            <w:noWrap/>
            <w:tcMar>
              <w:top w:w="0" w:type="dxa"/>
              <w:left w:w="108" w:type="dxa"/>
              <w:bottom w:w="0" w:type="dxa"/>
              <w:right w:w="108" w:type="dxa"/>
            </w:tcMar>
            <w:vAlign w:val="bottom"/>
            <w:hideMark/>
          </w:tcPr>
          <w:p w14:paraId="693ABD68" w14:textId="77777777" w:rsidR="00036A4C" w:rsidRDefault="00C400C1">
            <w:pPr>
              <w:rPr>
                <w:rFonts w:ascii="Times New Roman" w:eastAsia="Times New Roman" w:hAnsi="Times New Roman" w:cs="Times New Roman"/>
                <w:sz w:val="24"/>
              </w:rPr>
            </w:pPr>
            <w:r>
              <w:rPr>
                <w:rFonts w:ascii="Courier New" w:eastAsia="Courier New" w:hAnsi="Courier New" w:cs="Courier New"/>
                <w:b/>
                <w:sz w:val="16"/>
                <w:szCs w:val="16"/>
              </w:rPr>
              <w:t>  </w:t>
            </w:r>
          </w:p>
          <w:p w14:paraId="0D812A88" w14:textId="77777777" w:rsidR="00036A4C" w:rsidRDefault="00C400C1">
            <w:pPr>
              <w:spacing w:line="220" w:lineRule="atLeast"/>
              <w:rPr>
                <w:rFonts w:ascii="Times New Roman" w:eastAsia="Times New Roman" w:hAnsi="Times New Roman" w:cs="Times New Roman"/>
                <w:sz w:val="24"/>
              </w:rPr>
            </w:pPr>
            <w:r>
              <w:rPr>
                <w:rFonts w:ascii="Times New Roman" w:eastAsia="Times New Roman" w:hAnsi="Times New Roman" w:cs="Times New Roman"/>
                <w:sz w:val="20"/>
                <w:szCs w:val="20"/>
              </w:rPr>
              <w:t>Наименование бюджета Муниципальный бюджет</w:t>
            </w:r>
          </w:p>
        </w:tc>
        <w:tc>
          <w:tcPr>
            <w:tcW w:w="0" w:type="auto"/>
            <w:noWrap/>
            <w:tcMar>
              <w:top w:w="0" w:type="dxa"/>
              <w:left w:w="108" w:type="dxa"/>
              <w:bottom w:w="0" w:type="dxa"/>
              <w:right w:w="108" w:type="dxa"/>
            </w:tcMar>
            <w:vAlign w:val="bottom"/>
            <w:hideMark/>
          </w:tcPr>
          <w:p w14:paraId="2F495E87" w14:textId="77777777" w:rsidR="00036A4C" w:rsidRDefault="00C400C1">
            <w:pPr>
              <w:spacing w:line="220" w:lineRule="atLeast"/>
              <w:jc w:val="right"/>
              <w:rPr>
                <w:rFonts w:ascii="Times New Roman" w:eastAsia="Times New Roman" w:hAnsi="Times New Roman" w:cs="Times New Roman"/>
                <w:sz w:val="24"/>
              </w:rPr>
            </w:pPr>
            <w:r>
              <w:rPr>
                <w:rFonts w:ascii="Times New Roman" w:eastAsia="Times New Roman" w:hAnsi="Times New Roman" w:cs="Times New Roman"/>
                <w:sz w:val="20"/>
                <w:szCs w:val="20"/>
              </w:rPr>
              <w:t>по ОКТМО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2CBC2095" w14:textId="77777777" w:rsidR="00036A4C" w:rsidRDefault="00C400C1">
            <w:pPr>
              <w:spacing w:line="220" w:lineRule="atLeast"/>
              <w:jc w:val="center"/>
              <w:rPr>
                <w:rFonts w:ascii="Times New Roman" w:eastAsia="Times New Roman" w:hAnsi="Times New Roman" w:cs="Times New Roman"/>
                <w:sz w:val="24"/>
              </w:rPr>
            </w:pPr>
            <w:r>
              <w:rPr>
                <w:rFonts w:ascii="Times New Roman" w:eastAsia="Times New Roman" w:hAnsi="Times New Roman" w:cs="Times New Roman"/>
                <w:sz w:val="20"/>
                <w:szCs w:val="20"/>
              </w:rPr>
              <w:t>33617000</w:t>
            </w:r>
          </w:p>
        </w:tc>
      </w:tr>
      <w:tr w:rsidR="00036A4C" w14:paraId="486A04B0" w14:textId="77777777">
        <w:trPr>
          <w:trHeight w:val="315"/>
        </w:trPr>
        <w:tc>
          <w:tcPr>
            <w:tcW w:w="0" w:type="auto"/>
            <w:gridSpan w:val="3"/>
            <w:noWrap/>
            <w:tcMar>
              <w:top w:w="0" w:type="dxa"/>
              <w:left w:w="108" w:type="dxa"/>
              <w:bottom w:w="0" w:type="dxa"/>
              <w:right w:w="108" w:type="dxa"/>
            </w:tcMar>
            <w:vAlign w:val="bottom"/>
            <w:hideMark/>
          </w:tcPr>
          <w:p w14:paraId="132A72B3" w14:textId="77777777" w:rsidR="00036A4C" w:rsidRDefault="00C400C1">
            <w:pPr>
              <w:rPr>
                <w:rFonts w:ascii="Times New Roman" w:eastAsia="Times New Roman" w:hAnsi="Times New Roman" w:cs="Times New Roman"/>
                <w:sz w:val="24"/>
              </w:rPr>
            </w:pPr>
            <w:proofErr w:type="gramStart"/>
            <w:r>
              <w:rPr>
                <w:rFonts w:ascii="Times New Roman" w:eastAsia="Times New Roman" w:hAnsi="Times New Roman" w:cs="Times New Roman"/>
                <w:sz w:val="20"/>
                <w:szCs w:val="20"/>
              </w:rPr>
              <w:t>Периодичность:   </w:t>
            </w:r>
            <w:proofErr w:type="gramEnd"/>
            <w:r>
              <w:rPr>
                <w:rFonts w:ascii="Times New Roman" w:eastAsia="Times New Roman" w:hAnsi="Times New Roman" w:cs="Times New Roman"/>
                <w:sz w:val="20"/>
                <w:szCs w:val="20"/>
              </w:rPr>
              <w:t> месячная</w:t>
            </w:r>
          </w:p>
        </w:tc>
        <w:tc>
          <w:tcPr>
            <w:tcW w:w="0" w:type="auto"/>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14:paraId="5E7EFAD7"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036A4C" w14:paraId="514D6985" w14:textId="77777777">
        <w:trPr>
          <w:trHeight w:val="282"/>
        </w:trPr>
        <w:tc>
          <w:tcPr>
            <w:tcW w:w="0" w:type="auto"/>
            <w:gridSpan w:val="2"/>
            <w:noWrap/>
            <w:tcMar>
              <w:top w:w="0" w:type="dxa"/>
              <w:left w:w="108" w:type="dxa"/>
              <w:bottom w:w="0" w:type="dxa"/>
              <w:right w:w="108" w:type="dxa"/>
            </w:tcMar>
            <w:vAlign w:val="bottom"/>
            <w:hideMark/>
          </w:tcPr>
          <w:p w14:paraId="2642B413"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Единица измерения: руб.</w:t>
            </w:r>
          </w:p>
        </w:tc>
        <w:tc>
          <w:tcPr>
            <w:tcW w:w="0" w:type="auto"/>
            <w:noWrap/>
            <w:tcMar>
              <w:top w:w="0" w:type="dxa"/>
              <w:left w:w="108" w:type="dxa"/>
              <w:bottom w:w="0" w:type="dxa"/>
              <w:right w:w="108" w:type="dxa"/>
            </w:tcMar>
            <w:vAlign w:val="bottom"/>
            <w:hideMark/>
          </w:tcPr>
          <w:p w14:paraId="6802F219" w14:textId="77777777" w:rsidR="00036A4C" w:rsidRDefault="00C400C1">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b/>
                <w:sz w:val="16"/>
                <w:szCs w:val="16"/>
              </w:rPr>
              <w:t xml:space="preserve">  </w:t>
            </w:r>
            <w:r>
              <w:rPr>
                <w:rFonts w:ascii="Times New Roman" w:eastAsia="Times New Roman" w:hAnsi="Times New Roman" w:cs="Times New Roman"/>
                <w:sz w:val="20"/>
                <w:szCs w:val="20"/>
              </w:rPr>
              <w:t>  по ОКЕИ</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540EA7EF" w14:textId="77777777" w:rsidR="00036A4C" w:rsidRDefault="00C400C1">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383</w:t>
            </w:r>
          </w:p>
        </w:tc>
      </w:tr>
      <w:tr w:rsidR="00036A4C" w14:paraId="42445D98" w14:textId="77777777">
        <w:trPr>
          <w:trHeight w:val="282"/>
        </w:trPr>
        <w:tc>
          <w:tcPr>
            <w:tcW w:w="0" w:type="auto"/>
            <w:noWrap/>
            <w:tcMar>
              <w:top w:w="0" w:type="dxa"/>
              <w:left w:w="108" w:type="dxa"/>
              <w:bottom w:w="0" w:type="dxa"/>
              <w:right w:w="108" w:type="dxa"/>
            </w:tcMar>
            <w:vAlign w:val="bottom"/>
            <w:hideMark/>
          </w:tcPr>
          <w:p w14:paraId="21D5EA29"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noWrap/>
            <w:tcMar>
              <w:top w:w="0" w:type="dxa"/>
              <w:left w:w="108" w:type="dxa"/>
              <w:bottom w:w="0" w:type="dxa"/>
              <w:right w:w="108" w:type="dxa"/>
            </w:tcMar>
            <w:vAlign w:val="bottom"/>
            <w:hideMark/>
          </w:tcPr>
          <w:p w14:paraId="2684EE61"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noWrap/>
            <w:tcMar>
              <w:top w:w="0" w:type="dxa"/>
              <w:left w:w="108" w:type="dxa"/>
              <w:bottom w:w="0" w:type="dxa"/>
              <w:right w:w="108" w:type="dxa"/>
            </w:tcMar>
            <w:vAlign w:val="bottom"/>
            <w:hideMark/>
          </w:tcPr>
          <w:p w14:paraId="54B9BDA7"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tcMar>
              <w:top w:w="0" w:type="dxa"/>
              <w:left w:w="108" w:type="dxa"/>
              <w:bottom w:w="0" w:type="dxa"/>
              <w:right w:w="108" w:type="dxa"/>
            </w:tcMar>
            <w:vAlign w:val="center"/>
            <w:hideMark/>
          </w:tcPr>
          <w:p w14:paraId="74AD9545" w14:textId="77777777" w:rsidR="00036A4C" w:rsidRDefault="00036A4C">
            <w:pPr>
              <w:rPr>
                <w:sz w:val="24"/>
              </w:rPr>
            </w:pPr>
          </w:p>
        </w:tc>
      </w:tr>
      <w:tr w:rsidR="00036A4C" w14:paraId="24F48AD9" w14:textId="77777777">
        <w:trPr>
          <w:trHeight w:val="282"/>
        </w:trPr>
        <w:tc>
          <w:tcPr>
            <w:tcW w:w="0" w:type="auto"/>
            <w:gridSpan w:val="4"/>
            <w:noWrap/>
            <w:tcMar>
              <w:top w:w="0" w:type="dxa"/>
              <w:left w:w="108" w:type="dxa"/>
              <w:bottom w:w="0" w:type="dxa"/>
              <w:right w:w="108" w:type="dxa"/>
            </w:tcMar>
            <w:vAlign w:val="bottom"/>
            <w:hideMark/>
          </w:tcPr>
          <w:p w14:paraId="53C76EDA" w14:textId="77777777" w:rsidR="00036A4C" w:rsidRDefault="00C400C1">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14:paraId="547F5EA7" w14:textId="77777777" w:rsidR="00036A4C" w:rsidRDefault="00C400C1">
      <w:pPr>
        <w:rPr>
          <w:rFonts w:ascii="Courier New" w:eastAsia="Courier New" w:hAnsi="Courier New" w:cs="Courier New"/>
        </w:rPr>
      </w:pPr>
      <w:r>
        <w:rPr>
          <w:rFonts w:ascii="Times New Roman" w:eastAsia="Times New Roman" w:hAnsi="Times New Roman" w:cs="Times New Roman"/>
          <w:vanish/>
          <w:color w:val="000000"/>
          <w:sz w:val="28"/>
          <w:szCs w:val="28"/>
        </w:rPr>
        <w:t> </w:t>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8911"/>
        <w:gridCol w:w="1795"/>
        <w:gridCol w:w="1468"/>
        <w:gridCol w:w="1116"/>
      </w:tblGrid>
      <w:tr w:rsidR="00036A4C" w14:paraId="1B63C590" w14:textId="77777777">
        <w:trPr>
          <w:gridAfter w:val="2"/>
          <w:trHeight w:val="270"/>
        </w:trPr>
        <w:tc>
          <w:tcPr>
            <w:tcW w:w="0" w:type="auto"/>
            <w:gridSpan w:val="2"/>
            <w:tcBorders>
              <w:top w:val="nil"/>
              <w:left w:val="nil"/>
              <w:bottom w:val="nil"/>
              <w:right w:val="nil"/>
            </w:tcBorders>
            <w:tcMar>
              <w:top w:w="0" w:type="dxa"/>
              <w:left w:w="108" w:type="dxa"/>
              <w:bottom w:w="0" w:type="dxa"/>
              <w:right w:w="108" w:type="dxa"/>
            </w:tcMar>
            <w:vAlign w:val="bottom"/>
            <w:hideMark/>
          </w:tcPr>
          <w:p w14:paraId="355F12DF" w14:textId="77777777" w:rsidR="00036A4C" w:rsidRDefault="00C400C1">
            <w:pPr>
              <w:jc w:val="center"/>
              <w:rPr>
                <w:rFonts w:ascii="Courier New" w:eastAsia="Courier New" w:hAnsi="Courier New" w:cs="Courier New"/>
              </w:rPr>
            </w:pPr>
            <w:r>
              <w:rPr>
                <w:rFonts w:ascii="Times New Roman" w:eastAsia="Times New Roman" w:hAnsi="Times New Roman" w:cs="Times New Roman"/>
                <w:b/>
                <w:color w:val="000000"/>
                <w:sz w:val="24"/>
                <w:szCs w:val="24"/>
              </w:rPr>
              <w:t>ПОЯСНИТЕЛЬНАЯ ЗАПИСКА</w:t>
            </w:r>
          </w:p>
        </w:tc>
      </w:tr>
      <w:tr w:rsidR="00036A4C" w14:paraId="276192EC" w14:textId="77777777">
        <w:trPr>
          <w:trHeight w:val="255"/>
        </w:trPr>
        <w:tc>
          <w:tcPr>
            <w:tcW w:w="0" w:type="auto"/>
            <w:gridSpan w:val="2"/>
            <w:tcBorders>
              <w:top w:val="nil"/>
              <w:left w:val="nil"/>
              <w:bottom w:val="nil"/>
              <w:right w:val="nil"/>
            </w:tcBorders>
            <w:tcMar>
              <w:top w:w="0" w:type="dxa"/>
              <w:left w:w="108" w:type="dxa"/>
              <w:bottom w:w="0" w:type="dxa"/>
              <w:right w:w="108" w:type="dxa"/>
            </w:tcMar>
            <w:vAlign w:val="bottom"/>
            <w:hideMark/>
          </w:tcPr>
          <w:p w14:paraId="5D9EE2E7" w14:textId="77777777" w:rsidR="00036A4C" w:rsidRDefault="00C400C1">
            <w:pPr>
              <w:jc w:val="center"/>
              <w:rPr>
                <w:rFonts w:ascii="Courier New" w:eastAsia="Courier New" w:hAnsi="Courier New" w:cs="Courier New"/>
              </w:rPr>
            </w:pPr>
            <w:r>
              <w:rPr>
                <w:rFonts w:ascii="Times New Roman" w:eastAsia="Times New Roman" w:hAnsi="Times New Roman" w:cs="Times New Roman"/>
                <w:b/>
                <w:color w:val="000000"/>
                <w:sz w:val="24"/>
                <w:szCs w:val="24"/>
              </w:rPr>
              <w:t>к отчету об исполнении консолидированного бюджета</w:t>
            </w:r>
          </w:p>
        </w:tc>
        <w:tc>
          <w:tcPr>
            <w:tcW w:w="0" w:type="auto"/>
            <w:tcBorders>
              <w:top w:val="nil"/>
              <w:left w:val="nil"/>
              <w:bottom w:val="nil"/>
              <w:right w:val="nil"/>
            </w:tcBorders>
            <w:tcMar>
              <w:top w:w="0" w:type="dxa"/>
              <w:left w:w="108" w:type="dxa"/>
              <w:bottom w:w="0" w:type="dxa"/>
              <w:right w:w="108" w:type="dxa"/>
            </w:tcMar>
            <w:vAlign w:val="bottom"/>
            <w:hideMark/>
          </w:tcPr>
          <w:p w14:paraId="33739D99"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7571BCB6" w14:textId="77777777" w:rsidR="00036A4C" w:rsidRDefault="00C400C1">
            <w:pPr>
              <w:jc w:val="center"/>
              <w:rPr>
                <w:rFonts w:ascii="Courier New" w:eastAsia="Courier New" w:hAnsi="Courier New" w:cs="Courier New"/>
              </w:rPr>
            </w:pPr>
            <w:r>
              <w:rPr>
                <w:rFonts w:ascii="Times New Roman" w:eastAsia="Times New Roman" w:hAnsi="Times New Roman" w:cs="Times New Roman"/>
                <w:b/>
                <w:color w:val="000000"/>
                <w:sz w:val="24"/>
                <w:szCs w:val="24"/>
              </w:rPr>
              <w:t>КОДЫ</w:t>
            </w:r>
          </w:p>
        </w:tc>
      </w:tr>
      <w:tr w:rsidR="00036A4C" w14:paraId="646ECCCC" w14:textId="77777777">
        <w:trPr>
          <w:trHeight w:val="282"/>
        </w:trPr>
        <w:tc>
          <w:tcPr>
            <w:tcW w:w="0" w:type="auto"/>
            <w:tcBorders>
              <w:top w:val="nil"/>
              <w:left w:val="nil"/>
              <w:bottom w:val="nil"/>
              <w:right w:val="nil"/>
            </w:tcBorders>
            <w:tcMar>
              <w:top w:w="0" w:type="dxa"/>
              <w:left w:w="0" w:type="dxa"/>
              <w:bottom w:w="0" w:type="dxa"/>
              <w:right w:w="0" w:type="dxa"/>
            </w:tcMar>
            <w:vAlign w:val="center"/>
            <w:hideMark/>
          </w:tcPr>
          <w:p w14:paraId="654E2480"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 </w:t>
            </w:r>
          </w:p>
        </w:tc>
        <w:tc>
          <w:tcPr>
            <w:tcW w:w="0" w:type="auto"/>
            <w:gridSpan w:val="2"/>
            <w:tcBorders>
              <w:top w:val="nil"/>
              <w:left w:val="nil"/>
              <w:bottom w:val="nil"/>
              <w:right w:val="nil"/>
            </w:tcBorders>
            <w:tcMar>
              <w:top w:w="0" w:type="dxa"/>
              <w:left w:w="108" w:type="dxa"/>
              <w:bottom w:w="0" w:type="dxa"/>
              <w:right w:w="108" w:type="dxa"/>
            </w:tcMar>
            <w:vAlign w:val="bottom"/>
            <w:hideMark/>
          </w:tcPr>
          <w:p w14:paraId="01DB2842" w14:textId="77777777" w:rsidR="00036A4C" w:rsidRDefault="00C400C1">
            <w:pPr>
              <w:jc w:val="right"/>
              <w:rPr>
                <w:rFonts w:ascii="Courier New" w:eastAsia="Courier New" w:hAnsi="Courier New" w:cs="Courier New"/>
              </w:rPr>
            </w:pPr>
            <w:r>
              <w:rPr>
                <w:rFonts w:ascii="Times New Roman" w:eastAsia="Times New Roman" w:hAnsi="Times New Roman" w:cs="Times New Roman"/>
                <w:color w:val="000000"/>
                <w:sz w:val="24"/>
                <w:szCs w:val="24"/>
              </w:rPr>
              <w:t>Форма по ОКУД</w:t>
            </w:r>
          </w:p>
        </w:tc>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FA412B7" w14:textId="77777777" w:rsidR="00036A4C" w:rsidRDefault="00C400C1">
            <w:pPr>
              <w:jc w:val="center"/>
              <w:rPr>
                <w:rFonts w:ascii="Courier New" w:eastAsia="Courier New" w:hAnsi="Courier New" w:cs="Courier New"/>
              </w:rPr>
            </w:pPr>
            <w:r>
              <w:rPr>
                <w:rFonts w:ascii="Times New Roman" w:eastAsia="Times New Roman" w:hAnsi="Times New Roman" w:cs="Times New Roman"/>
                <w:b/>
                <w:color w:val="000000"/>
                <w:sz w:val="20"/>
                <w:szCs w:val="20"/>
              </w:rPr>
              <w:t>0503360</w:t>
            </w:r>
          </w:p>
        </w:tc>
      </w:tr>
      <w:tr w:rsidR="00036A4C" w14:paraId="54DA038C" w14:textId="77777777">
        <w:trPr>
          <w:trHeight w:val="282"/>
        </w:trPr>
        <w:tc>
          <w:tcPr>
            <w:tcW w:w="0" w:type="auto"/>
            <w:gridSpan w:val="2"/>
            <w:tcBorders>
              <w:top w:val="nil"/>
              <w:left w:val="nil"/>
              <w:bottom w:val="nil"/>
              <w:right w:val="nil"/>
            </w:tcBorders>
            <w:tcMar>
              <w:top w:w="0" w:type="dxa"/>
              <w:left w:w="108" w:type="dxa"/>
              <w:bottom w:w="0" w:type="dxa"/>
              <w:right w:w="108" w:type="dxa"/>
            </w:tcMar>
            <w:vAlign w:val="bottom"/>
            <w:hideMark/>
          </w:tcPr>
          <w:p w14:paraId="09B3A88C"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4"/>
                <w:szCs w:val="24"/>
              </w:rPr>
              <w:t>на 1 января 2023 г.</w:t>
            </w:r>
          </w:p>
        </w:tc>
        <w:tc>
          <w:tcPr>
            <w:tcW w:w="0" w:type="auto"/>
            <w:tcBorders>
              <w:top w:val="nil"/>
              <w:left w:val="nil"/>
              <w:bottom w:val="nil"/>
              <w:right w:val="nil"/>
            </w:tcBorders>
            <w:tcMar>
              <w:top w:w="0" w:type="dxa"/>
              <w:left w:w="108" w:type="dxa"/>
              <w:bottom w:w="0" w:type="dxa"/>
              <w:right w:w="108" w:type="dxa"/>
            </w:tcMar>
            <w:vAlign w:val="bottom"/>
            <w:hideMark/>
          </w:tcPr>
          <w:p w14:paraId="4C55AEB1" w14:textId="77777777" w:rsidR="00036A4C" w:rsidRDefault="00C400C1">
            <w:pPr>
              <w:jc w:val="right"/>
              <w:rPr>
                <w:rFonts w:ascii="Courier New" w:eastAsia="Courier New" w:hAnsi="Courier New" w:cs="Courier New"/>
              </w:rPr>
            </w:pPr>
            <w:r>
              <w:rPr>
                <w:rFonts w:ascii="Times New Roman" w:eastAsia="Times New Roman" w:hAnsi="Times New Roman" w:cs="Times New Roman"/>
                <w:color w:val="000000"/>
                <w:sz w:val="24"/>
                <w:szCs w:val="24"/>
              </w:rPr>
              <w:t>Дата</w:t>
            </w:r>
          </w:p>
        </w:tc>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0E1BA01C"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0"/>
                <w:szCs w:val="20"/>
              </w:rPr>
              <w:t>01.01.2023</w:t>
            </w:r>
          </w:p>
        </w:tc>
      </w:tr>
      <w:tr w:rsidR="00036A4C" w14:paraId="6652422A" w14:textId="77777777">
        <w:trPr>
          <w:trHeight w:val="300"/>
        </w:trPr>
        <w:tc>
          <w:tcPr>
            <w:tcW w:w="0" w:type="auto"/>
            <w:gridSpan w:val="3"/>
            <w:tcBorders>
              <w:top w:val="nil"/>
              <w:left w:val="nil"/>
              <w:bottom w:val="nil"/>
              <w:right w:val="nil"/>
            </w:tcBorders>
            <w:tcMar>
              <w:top w:w="0" w:type="dxa"/>
              <w:left w:w="108" w:type="dxa"/>
              <w:bottom w:w="0" w:type="dxa"/>
              <w:right w:w="108" w:type="dxa"/>
            </w:tcMar>
            <w:vAlign w:val="bottom"/>
            <w:hideMark/>
          </w:tcPr>
          <w:p w14:paraId="4AC70699"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 </w:t>
            </w:r>
          </w:p>
        </w:tc>
        <w:tc>
          <w:tcPr>
            <w:tcW w:w="0" w:type="auto"/>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5054F545"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w:t>
            </w:r>
          </w:p>
        </w:tc>
      </w:tr>
      <w:tr w:rsidR="00036A4C" w14:paraId="5AAD7148" w14:textId="77777777">
        <w:trPr>
          <w:trHeight w:val="195"/>
        </w:trPr>
        <w:tc>
          <w:tcPr>
            <w:tcW w:w="0" w:type="auto"/>
            <w:gridSpan w:val="3"/>
            <w:tcBorders>
              <w:top w:val="nil"/>
              <w:left w:val="nil"/>
              <w:bottom w:val="nil"/>
              <w:right w:val="nil"/>
            </w:tcBorders>
            <w:tcMar>
              <w:top w:w="0" w:type="dxa"/>
              <w:left w:w="108" w:type="dxa"/>
              <w:bottom w:w="0" w:type="dxa"/>
              <w:right w:w="108" w:type="dxa"/>
            </w:tcMar>
            <w:vAlign w:val="bottom"/>
            <w:hideMark/>
          </w:tcPr>
          <w:p w14:paraId="7CC126E3" w14:textId="77777777" w:rsidR="00036A4C" w:rsidRDefault="00C400C1">
            <w:pPr>
              <w:jc w:val="right"/>
              <w:rPr>
                <w:rFonts w:ascii="Courier New" w:eastAsia="Courier New" w:hAnsi="Courier New" w:cs="Courier New"/>
              </w:rPr>
            </w:pPr>
            <w:r>
              <w:rPr>
                <w:rFonts w:ascii="Times New Roman" w:eastAsia="Times New Roman" w:hAnsi="Times New Roman" w:cs="Times New Roman"/>
                <w:color w:val="000000"/>
                <w:sz w:val="24"/>
                <w:szCs w:val="24"/>
              </w:rPr>
              <w:t>по ОКПО</w:t>
            </w:r>
          </w:p>
        </w:tc>
        <w:tc>
          <w:tcPr>
            <w:tcW w:w="0" w:type="auto"/>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18FDC64F"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0"/>
                <w:szCs w:val="20"/>
              </w:rPr>
              <w:t xml:space="preserve">84577153 </w:t>
            </w:r>
          </w:p>
        </w:tc>
      </w:tr>
      <w:tr w:rsidR="00036A4C" w14:paraId="65A0207D" w14:textId="77777777">
        <w:trPr>
          <w:trHeight w:val="150"/>
        </w:trPr>
        <w:tc>
          <w:tcPr>
            <w:tcW w:w="0" w:type="auto"/>
            <w:gridSpan w:val="2"/>
            <w:tcBorders>
              <w:top w:val="nil"/>
              <w:left w:val="nil"/>
              <w:bottom w:val="nil"/>
              <w:right w:val="nil"/>
            </w:tcBorders>
            <w:tcMar>
              <w:top w:w="0" w:type="dxa"/>
              <w:left w:w="108" w:type="dxa"/>
              <w:bottom w:w="0" w:type="dxa"/>
              <w:right w:w="108" w:type="dxa"/>
            </w:tcMar>
            <w:vAlign w:val="bottom"/>
            <w:hideMark/>
          </w:tcPr>
          <w:p w14:paraId="4ADFB3EB"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Наименование финансового органа Финансовое управление администрации Кильмезского района Кировской области</w:t>
            </w:r>
          </w:p>
        </w:tc>
        <w:tc>
          <w:tcPr>
            <w:tcW w:w="0" w:type="auto"/>
            <w:tcBorders>
              <w:top w:val="nil"/>
              <w:left w:val="nil"/>
              <w:bottom w:val="nil"/>
              <w:right w:val="nil"/>
            </w:tcBorders>
            <w:tcMar>
              <w:top w:w="0" w:type="dxa"/>
              <w:left w:w="108" w:type="dxa"/>
              <w:bottom w:w="0" w:type="dxa"/>
              <w:right w:w="108" w:type="dxa"/>
            </w:tcMar>
            <w:vAlign w:val="bottom"/>
            <w:hideMark/>
          </w:tcPr>
          <w:p w14:paraId="03061345" w14:textId="77777777" w:rsidR="00036A4C" w:rsidRDefault="00C400C1">
            <w:pPr>
              <w:jc w:val="right"/>
              <w:rPr>
                <w:rFonts w:ascii="Courier New" w:eastAsia="Courier New" w:hAnsi="Courier New" w:cs="Courier New"/>
              </w:rPr>
            </w:pPr>
            <w:r>
              <w:rPr>
                <w:rFonts w:ascii="Times New Roman" w:eastAsia="Times New Roman" w:hAnsi="Times New Roman" w:cs="Times New Roman"/>
                <w:color w:val="000000"/>
                <w:sz w:val="24"/>
                <w:szCs w:val="24"/>
              </w:rPr>
              <w:t>Глава по БК</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1B1DE9D4"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0"/>
                <w:szCs w:val="20"/>
              </w:rPr>
              <w:t>912</w:t>
            </w:r>
          </w:p>
        </w:tc>
      </w:tr>
      <w:tr w:rsidR="00036A4C" w14:paraId="404FE993" w14:textId="77777777">
        <w:trPr>
          <w:trHeight w:val="220"/>
        </w:trPr>
        <w:tc>
          <w:tcPr>
            <w:tcW w:w="0" w:type="auto"/>
            <w:gridSpan w:val="2"/>
            <w:tcBorders>
              <w:top w:val="nil"/>
              <w:left w:val="nil"/>
              <w:bottom w:val="nil"/>
              <w:right w:val="nil"/>
            </w:tcBorders>
            <w:tcMar>
              <w:top w:w="0" w:type="dxa"/>
              <w:left w:w="108" w:type="dxa"/>
              <w:bottom w:w="0" w:type="dxa"/>
              <w:right w:w="108" w:type="dxa"/>
            </w:tcMar>
            <w:vAlign w:val="bottom"/>
            <w:hideMark/>
          </w:tcPr>
          <w:p w14:paraId="4B0B4E46"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Наименование бюджета Муниципальный бюджет</w:t>
            </w:r>
          </w:p>
        </w:tc>
        <w:tc>
          <w:tcPr>
            <w:tcW w:w="0" w:type="auto"/>
            <w:tcBorders>
              <w:top w:val="nil"/>
              <w:left w:val="nil"/>
              <w:bottom w:val="nil"/>
              <w:right w:val="nil"/>
            </w:tcBorders>
            <w:tcMar>
              <w:top w:w="0" w:type="dxa"/>
              <w:left w:w="108" w:type="dxa"/>
              <w:bottom w:w="0" w:type="dxa"/>
              <w:right w:w="108" w:type="dxa"/>
            </w:tcMar>
            <w:vAlign w:val="bottom"/>
            <w:hideMark/>
          </w:tcPr>
          <w:p w14:paraId="0BC6BEBB" w14:textId="77777777" w:rsidR="00036A4C" w:rsidRDefault="00C400C1">
            <w:pPr>
              <w:jc w:val="right"/>
              <w:rPr>
                <w:rFonts w:ascii="Courier New" w:eastAsia="Courier New" w:hAnsi="Courier New" w:cs="Courier New"/>
              </w:rPr>
            </w:pPr>
            <w:r>
              <w:rPr>
                <w:rFonts w:ascii="Times New Roman" w:eastAsia="Times New Roman" w:hAnsi="Times New Roman" w:cs="Times New Roman"/>
                <w:color w:val="000000"/>
                <w:sz w:val="24"/>
                <w:szCs w:val="24"/>
              </w:rPr>
              <w:t>по ОКТМО</w:t>
            </w:r>
          </w:p>
        </w:tc>
        <w:tc>
          <w:tcPr>
            <w:tcW w:w="0" w:type="auto"/>
            <w:tcBorders>
              <w:top w:val="nil"/>
              <w:left w:val="single" w:sz="8" w:space="0" w:color="000000"/>
              <w:bottom w:val="nil"/>
              <w:right w:val="single" w:sz="8" w:space="0" w:color="000000"/>
            </w:tcBorders>
            <w:tcMar>
              <w:top w:w="0" w:type="dxa"/>
              <w:left w:w="108" w:type="dxa"/>
              <w:bottom w:w="0" w:type="dxa"/>
              <w:right w:w="108" w:type="dxa"/>
            </w:tcMar>
            <w:vAlign w:val="bottom"/>
            <w:hideMark/>
          </w:tcPr>
          <w:p w14:paraId="628FC39B"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0"/>
                <w:szCs w:val="20"/>
              </w:rPr>
              <w:t>33617000</w:t>
            </w:r>
          </w:p>
        </w:tc>
      </w:tr>
      <w:tr w:rsidR="00036A4C" w14:paraId="5A81EF15" w14:textId="77777777">
        <w:trPr>
          <w:trHeight w:val="315"/>
        </w:trPr>
        <w:tc>
          <w:tcPr>
            <w:tcW w:w="0" w:type="auto"/>
            <w:gridSpan w:val="3"/>
            <w:tcBorders>
              <w:top w:val="nil"/>
              <w:left w:val="nil"/>
              <w:bottom w:val="nil"/>
              <w:right w:val="nil"/>
            </w:tcBorders>
            <w:tcMar>
              <w:top w:w="0" w:type="dxa"/>
              <w:left w:w="108" w:type="dxa"/>
              <w:bottom w:w="0" w:type="dxa"/>
              <w:right w:w="108" w:type="dxa"/>
            </w:tcMar>
            <w:vAlign w:val="bottom"/>
            <w:hideMark/>
          </w:tcPr>
          <w:p w14:paraId="54C08531"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Периодичность: месячная, квартальная, годовая</w:t>
            </w:r>
          </w:p>
        </w:tc>
        <w:tc>
          <w:tcPr>
            <w:tcW w:w="0" w:type="auto"/>
            <w:tcBorders>
              <w:top w:val="single" w:sz="8" w:space="0" w:color="000000"/>
              <w:left w:val="single" w:sz="8" w:space="0" w:color="000000"/>
              <w:bottom w:val="nil"/>
              <w:right w:val="single" w:sz="8" w:space="0" w:color="000000"/>
            </w:tcBorders>
            <w:tcMar>
              <w:top w:w="0" w:type="dxa"/>
              <w:left w:w="108" w:type="dxa"/>
              <w:bottom w:w="0" w:type="dxa"/>
              <w:right w:w="108" w:type="dxa"/>
            </w:tcMar>
            <w:vAlign w:val="bottom"/>
            <w:hideMark/>
          </w:tcPr>
          <w:p w14:paraId="78C28C01"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w:t>
            </w:r>
          </w:p>
        </w:tc>
      </w:tr>
      <w:tr w:rsidR="00036A4C" w14:paraId="4E125257" w14:textId="77777777">
        <w:trPr>
          <w:trHeight w:val="282"/>
        </w:trPr>
        <w:tc>
          <w:tcPr>
            <w:tcW w:w="0" w:type="auto"/>
            <w:gridSpan w:val="2"/>
            <w:tcBorders>
              <w:top w:val="nil"/>
              <w:left w:val="nil"/>
              <w:bottom w:val="nil"/>
              <w:right w:val="nil"/>
            </w:tcBorders>
            <w:tcMar>
              <w:top w:w="0" w:type="dxa"/>
              <w:left w:w="108" w:type="dxa"/>
              <w:bottom w:w="0" w:type="dxa"/>
              <w:right w:w="108" w:type="dxa"/>
            </w:tcMar>
            <w:vAlign w:val="bottom"/>
            <w:hideMark/>
          </w:tcPr>
          <w:p w14:paraId="45BDE80C"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Единица измерения: руб.</w:t>
            </w:r>
          </w:p>
        </w:tc>
        <w:tc>
          <w:tcPr>
            <w:tcW w:w="0" w:type="auto"/>
            <w:tcBorders>
              <w:top w:val="nil"/>
              <w:left w:val="nil"/>
              <w:bottom w:val="nil"/>
              <w:right w:val="nil"/>
            </w:tcBorders>
            <w:tcMar>
              <w:top w:w="0" w:type="dxa"/>
              <w:left w:w="108" w:type="dxa"/>
              <w:bottom w:w="0" w:type="dxa"/>
              <w:right w:w="108" w:type="dxa"/>
            </w:tcMar>
            <w:vAlign w:val="bottom"/>
            <w:hideMark/>
          </w:tcPr>
          <w:p w14:paraId="217BF206" w14:textId="77777777" w:rsidR="00036A4C" w:rsidRDefault="00C400C1">
            <w:pPr>
              <w:spacing w:before="240" w:after="240"/>
              <w:jc w:val="right"/>
              <w:rPr>
                <w:rFonts w:ascii="Courier New" w:eastAsia="Courier New" w:hAnsi="Courier New" w:cs="Courier New"/>
              </w:rPr>
            </w:pPr>
            <w:r>
              <w:rPr>
                <w:rFonts w:ascii="Times New Roman" w:eastAsia="Times New Roman" w:hAnsi="Times New Roman" w:cs="Times New Roman"/>
                <w:color w:val="000000"/>
                <w:sz w:val="24"/>
                <w:szCs w:val="24"/>
              </w:rPr>
              <w:t>по ОКЕИ</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2B00859B" w14:textId="77777777" w:rsidR="00036A4C" w:rsidRDefault="00C400C1">
            <w:pPr>
              <w:jc w:val="center"/>
              <w:rPr>
                <w:rFonts w:ascii="Courier New" w:eastAsia="Courier New" w:hAnsi="Courier New" w:cs="Courier New"/>
              </w:rPr>
            </w:pPr>
            <w:r>
              <w:rPr>
                <w:rFonts w:ascii="Times New Roman" w:eastAsia="Times New Roman" w:hAnsi="Times New Roman" w:cs="Times New Roman"/>
                <w:b/>
                <w:color w:val="000000"/>
                <w:sz w:val="20"/>
                <w:szCs w:val="20"/>
              </w:rPr>
              <w:t>383</w:t>
            </w:r>
          </w:p>
        </w:tc>
      </w:tr>
      <w:tr w:rsidR="00036A4C" w14:paraId="0C18031B" w14:textId="77777777">
        <w:trPr>
          <w:gridAfter w:val="1"/>
          <w:trHeight w:val="282"/>
        </w:trPr>
        <w:tc>
          <w:tcPr>
            <w:tcW w:w="0" w:type="auto"/>
            <w:tcBorders>
              <w:top w:val="nil"/>
              <w:left w:val="nil"/>
              <w:bottom w:val="nil"/>
              <w:right w:val="nil"/>
            </w:tcBorders>
            <w:tcMar>
              <w:top w:w="0" w:type="dxa"/>
              <w:left w:w="108" w:type="dxa"/>
              <w:bottom w:w="0" w:type="dxa"/>
              <w:right w:w="108" w:type="dxa"/>
            </w:tcMar>
            <w:vAlign w:val="bottom"/>
            <w:hideMark/>
          </w:tcPr>
          <w:p w14:paraId="2FEDB4F0" w14:textId="77777777" w:rsidR="00036A4C" w:rsidRDefault="00C400C1">
            <w:pPr>
              <w:rPr>
                <w:rFonts w:ascii="Courier New" w:eastAsia="Courier New" w:hAnsi="Courier New" w:cs="Courier New"/>
              </w:rPr>
            </w:pPr>
            <w:r>
              <w:rPr>
                <w:rFonts w:ascii="Times New Roman" w:eastAsia="Times New Roman" w:hAnsi="Times New Roman" w:cs="Times New Roman"/>
                <w:color w:val="FF0000"/>
                <w:sz w:val="24"/>
                <w:szCs w:val="24"/>
              </w:rPr>
              <w:t> </w:t>
            </w:r>
          </w:p>
        </w:tc>
        <w:tc>
          <w:tcPr>
            <w:tcW w:w="0" w:type="auto"/>
            <w:tcBorders>
              <w:top w:val="nil"/>
              <w:left w:val="nil"/>
              <w:bottom w:val="nil"/>
              <w:right w:val="nil"/>
            </w:tcBorders>
            <w:tcMar>
              <w:top w:w="0" w:type="dxa"/>
              <w:left w:w="108" w:type="dxa"/>
              <w:bottom w:w="0" w:type="dxa"/>
              <w:right w:w="108" w:type="dxa"/>
            </w:tcMar>
            <w:vAlign w:val="bottom"/>
            <w:hideMark/>
          </w:tcPr>
          <w:p w14:paraId="4D433327" w14:textId="77777777" w:rsidR="00036A4C" w:rsidRDefault="00C400C1">
            <w:pPr>
              <w:rPr>
                <w:rFonts w:ascii="Courier New" w:eastAsia="Courier New" w:hAnsi="Courier New" w:cs="Courier New"/>
              </w:rPr>
            </w:pPr>
            <w:r>
              <w:rPr>
                <w:rFonts w:ascii="Times New Roman" w:eastAsia="Times New Roman" w:hAnsi="Times New Roman" w:cs="Times New Roman"/>
                <w:color w:val="FF0000"/>
                <w:sz w:val="24"/>
                <w:szCs w:val="24"/>
              </w:rPr>
              <w:t> </w:t>
            </w:r>
          </w:p>
        </w:tc>
        <w:tc>
          <w:tcPr>
            <w:tcW w:w="0" w:type="auto"/>
            <w:tcBorders>
              <w:top w:val="nil"/>
              <w:left w:val="nil"/>
              <w:bottom w:val="nil"/>
              <w:right w:val="nil"/>
            </w:tcBorders>
            <w:tcMar>
              <w:top w:w="0" w:type="dxa"/>
              <w:left w:w="108" w:type="dxa"/>
              <w:bottom w:w="0" w:type="dxa"/>
              <w:right w:w="108" w:type="dxa"/>
            </w:tcMar>
            <w:vAlign w:val="bottom"/>
            <w:hideMark/>
          </w:tcPr>
          <w:p w14:paraId="260E4273" w14:textId="77777777" w:rsidR="00036A4C" w:rsidRDefault="00C400C1">
            <w:pPr>
              <w:rPr>
                <w:rFonts w:ascii="Courier New" w:eastAsia="Courier New" w:hAnsi="Courier New" w:cs="Courier New"/>
              </w:rPr>
            </w:pPr>
            <w:r>
              <w:rPr>
                <w:rFonts w:ascii="Times New Roman" w:eastAsia="Times New Roman" w:hAnsi="Times New Roman" w:cs="Times New Roman"/>
                <w:color w:val="FF0000"/>
                <w:sz w:val="24"/>
                <w:szCs w:val="24"/>
              </w:rPr>
              <w:t> </w:t>
            </w:r>
          </w:p>
        </w:tc>
      </w:tr>
      <w:tr w:rsidR="00036A4C" w14:paraId="363BCA73" w14:textId="77777777">
        <w:trPr>
          <w:trHeight w:val="282"/>
        </w:trPr>
        <w:tc>
          <w:tcPr>
            <w:tcW w:w="0" w:type="auto"/>
            <w:gridSpan w:val="4"/>
            <w:tcBorders>
              <w:top w:val="nil"/>
              <w:left w:val="nil"/>
              <w:bottom w:val="nil"/>
              <w:right w:val="nil"/>
            </w:tcBorders>
            <w:tcMar>
              <w:top w:w="0" w:type="dxa"/>
              <w:left w:w="108" w:type="dxa"/>
              <w:bottom w:w="0" w:type="dxa"/>
              <w:right w:w="108" w:type="dxa"/>
            </w:tcMar>
            <w:vAlign w:val="bottom"/>
            <w:hideMark/>
          </w:tcPr>
          <w:p w14:paraId="103BE7AC"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Раздел 1 «Организационная структура»</w:t>
            </w:r>
          </w:p>
          <w:p w14:paraId="65336230"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В соответствии с Уставом муниципального образования «Кильмезский район» финансовое управление администрации Кильмезского района является функциональным структурным подразделением администрации района. Финансовое управление в своей деятельности руководствуется Конституцией Российской Федерации, федеральными конституционными законами, </w:t>
            </w:r>
            <w:r>
              <w:rPr>
                <w:rFonts w:ascii="Times New Roman" w:eastAsia="Times New Roman" w:hAnsi="Times New Roman" w:cs="Times New Roman"/>
                <w:color w:val="000000"/>
                <w:sz w:val="24"/>
                <w:szCs w:val="24"/>
              </w:rPr>
              <w:lastRenderedPageBreak/>
              <w:t>федеральными законами, Уставом Кировской области, законами Кировской области, иными нормативными правовыми актами органов государственной власти Российской Федерации и Кировской области, муниципальными правовыми актами органов местного самоуправления (далее - муниципальные правовые акты) и «Положением о финансовом управлении администрации Кильмезского района Кировской области».</w:t>
            </w:r>
          </w:p>
          <w:p w14:paraId="7F4AA7D2"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Финансовое управление администрации Кильмезского района обладает правами юридического лица, является муниципальным учреждением, образуемым для осуществления управленческих функций, имеет обособленное имущество, от своего имени приобретает и осуществляет имущественные и личные неимущественные права, нести ответственность, быть истцом и ответчиком в суде, выступать по доверенности от имени Кильмезского района, администрации района в судах в пределах компетенции, имеет самостоятельную смету, гербовые и иные печати со своим наименованием, штампы и бланки, счета, открытые в соответствии с действующим законодательством.</w:t>
            </w:r>
          </w:p>
          <w:p w14:paraId="6E15221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Структурными подразделениями Управления являются отделы и (или) секторы по основным направлениям деятельности Управления.</w:t>
            </w:r>
          </w:p>
          <w:p w14:paraId="3BC8CCE7"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Начальник Управления исполняет обязанности представителя нанимателя (работодателя) в отношении работников Управления, а также проводит кадровую работу в Управлении.</w:t>
            </w:r>
          </w:p>
          <w:p w14:paraId="216994F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Работники Управления (кроме вспомогательно -технического персонала) являются муниципальными служащими, и на них распространяется федеральное законодательство, законодательство Кировской области о муниципальной службе, муниципальные правовые акты Кильмезского района о муниципальной службе.</w:t>
            </w:r>
          </w:p>
          <w:p w14:paraId="6A84491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Управление имеет полное наименование: финансовое управление администрации Кильмезского района Кировской области, и сокращенное наименование Кильмезское </w:t>
            </w:r>
            <w:proofErr w:type="spellStart"/>
            <w:r>
              <w:rPr>
                <w:rFonts w:ascii="Times New Roman" w:eastAsia="Times New Roman" w:hAnsi="Times New Roman" w:cs="Times New Roman"/>
                <w:color w:val="000000"/>
                <w:sz w:val="24"/>
                <w:szCs w:val="24"/>
              </w:rPr>
              <w:t>райфинуправление</w:t>
            </w:r>
            <w:proofErr w:type="spellEnd"/>
            <w:r>
              <w:rPr>
                <w:rFonts w:ascii="Times New Roman" w:eastAsia="Times New Roman" w:hAnsi="Times New Roman" w:cs="Times New Roman"/>
                <w:color w:val="000000"/>
                <w:sz w:val="24"/>
                <w:szCs w:val="24"/>
              </w:rPr>
              <w:t>.</w:t>
            </w:r>
          </w:p>
          <w:p w14:paraId="6FF4687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Управление в соответствии с функциями и полномочиями, установленными разделами 2 и 3 настоящего Положения вправе издавать индивидуальные правовые акты в форме распоряжений, решений, а начальник Управления - в форме приказов, обязательные для исполнения всеми физическими и юридическими лицами, в отношении которых они изданы.</w:t>
            </w:r>
          </w:p>
          <w:p w14:paraId="0E57B1A3"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Место нахождения (юридический и почтовый адрес): 613570, Кировская область, Кильмезский район, </w:t>
            </w:r>
            <w:proofErr w:type="spellStart"/>
            <w:r>
              <w:rPr>
                <w:rFonts w:ascii="Times New Roman" w:eastAsia="Times New Roman" w:hAnsi="Times New Roman" w:cs="Times New Roman"/>
                <w:color w:val="000000"/>
                <w:sz w:val="24"/>
                <w:szCs w:val="24"/>
              </w:rPr>
              <w:t>п.г.т</w:t>
            </w:r>
            <w:proofErr w:type="spellEnd"/>
            <w:r>
              <w:rPr>
                <w:rFonts w:ascii="Times New Roman" w:eastAsia="Times New Roman" w:hAnsi="Times New Roman" w:cs="Times New Roman"/>
                <w:color w:val="000000"/>
                <w:sz w:val="24"/>
                <w:szCs w:val="24"/>
              </w:rPr>
              <w:t xml:space="preserve">. Кильмезь, ул. Советская, д. 79. </w:t>
            </w:r>
          </w:p>
          <w:p w14:paraId="554673FC"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Управление исполняет функцию «организация бюджетного процесса» и является центром ответственности за ее исполнение</w:t>
            </w:r>
          </w:p>
          <w:p w14:paraId="0ADC661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Основные задачи управления финансов:</w:t>
            </w:r>
          </w:p>
          <w:p w14:paraId="444618AA"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 xml:space="preserve">участие в разработке и реализации основных направлений единой бюджетно-финансовой политики в муниципальном образовании «Кильмезский район» Кировской области. </w:t>
            </w:r>
          </w:p>
          <w:p w14:paraId="502CF917"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организация регулирования отношений между областным бюджетом и бюджетом муниципального образования «Кильмезский район» Кировской области (далее - бюджет района).</w:t>
            </w:r>
          </w:p>
          <w:p w14:paraId="685CBE32"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составление проекта бюджета района в соответствии с бюджетной классификацией Российской Федерации, основными направлениями бюджетной и налоговой политики, прогнозом социально-экономического развития района.</w:t>
            </w:r>
          </w:p>
          <w:p w14:paraId="48F97202"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 xml:space="preserve">организация и осуществление казначейского исполнения бюджета района. </w:t>
            </w:r>
          </w:p>
          <w:p w14:paraId="24979B82"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lastRenderedPageBreak/>
              <w:t>участие в работе по совершенствованию методов бюджетного планирования, финансирования и отчетности, разработке финансовых нормативов бюджетных услуг.</w:t>
            </w:r>
          </w:p>
          <w:p w14:paraId="67358977"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организация исполнения указаний государственных органов исполнительной власти Кировской области по осуществлению переданных государственных полномочий.</w:t>
            </w:r>
          </w:p>
          <w:p w14:paraId="0BE77FC3"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осуществление контроля за целевым расходованием бюджетных средств, за соблюдением финансовой дисциплины, методическое руководство за ведением бюджетного учета и отчетности.</w:t>
            </w:r>
          </w:p>
          <w:p w14:paraId="4B1D1409" w14:textId="77777777" w:rsidR="00036A4C" w:rsidRDefault="00C400C1">
            <w:pPr>
              <w:numPr>
                <w:ilvl w:val="0"/>
                <w:numId w:val="1"/>
              </w:numPr>
              <w:jc w:val="both"/>
              <w:rPr>
                <w:rFonts w:ascii="Arial" w:eastAsia="Arial" w:hAnsi="Arial" w:cs="Arial"/>
                <w:color w:val="000000"/>
                <w:sz w:val="24"/>
              </w:rPr>
            </w:pPr>
            <w:r>
              <w:rPr>
                <w:rFonts w:ascii="Times New Roman" w:eastAsia="Times New Roman" w:hAnsi="Times New Roman" w:cs="Times New Roman"/>
                <w:color w:val="000000"/>
                <w:sz w:val="24"/>
                <w:szCs w:val="24"/>
              </w:rPr>
              <w:t>учет и контроль долговых обязательств муниципального образования.</w:t>
            </w:r>
          </w:p>
          <w:p w14:paraId="35967FF3"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формирование доходной части бюджета района с учетом действия федеральных, региональных и местных налогов. </w:t>
            </w:r>
          </w:p>
          <w:p w14:paraId="69B76F9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В 2022 году участниками бюджетного процесса являются 5 главных распорядителей средств районного бюджета, 1 городское поселение и 11 сельских поселений, 20 казенных и 2 бюджетных учреждения. Учреждение - МКУ МБС является одновременно казенными и главным распорядителем средств районного бюджета. </w:t>
            </w:r>
          </w:p>
          <w:p w14:paraId="3D408CF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b/>
                <w:color w:val="000000"/>
                <w:sz w:val="24"/>
                <w:szCs w:val="24"/>
              </w:rPr>
              <w:t>Раздел 2 «Результаты деятельности»</w:t>
            </w:r>
          </w:p>
          <w:p w14:paraId="706C6712"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Численность работников органов местного самоуправления в соответствии утвержденных штатных расписаний на конец 2022 года составила в целом по консолидированному бюджету 122,4 единицы, что соответствует </w:t>
            </w:r>
            <w:proofErr w:type="gramStart"/>
            <w:r>
              <w:rPr>
                <w:rFonts w:ascii="Times New Roman" w:eastAsia="Times New Roman" w:hAnsi="Times New Roman" w:cs="Times New Roman"/>
                <w:color w:val="000000"/>
                <w:sz w:val="24"/>
                <w:szCs w:val="24"/>
              </w:rPr>
              <w:t>нормативу</w:t>
            </w:r>
            <w:proofErr w:type="gramEnd"/>
            <w:r>
              <w:rPr>
                <w:rFonts w:ascii="Times New Roman" w:eastAsia="Times New Roman" w:hAnsi="Times New Roman" w:cs="Times New Roman"/>
                <w:color w:val="000000"/>
                <w:sz w:val="24"/>
                <w:szCs w:val="24"/>
              </w:rPr>
              <w:t xml:space="preserve"> доведенному письмом министерства финансов Кировской области.</w:t>
            </w:r>
          </w:p>
          <w:p w14:paraId="09BB161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 подразделу 0113 «Другие государственные расходы» финансируются 2 казенных учреждения: МКУ «Кильмезская межотраслевая централизованная бухгалтерия» 28,5 шт. ед., и МКУ «Единая служба комплексного обеспечения» 22,75 шт. ед.</w:t>
            </w:r>
          </w:p>
          <w:p w14:paraId="694BA0F6"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По отрасли образование финансировалось 3 детских сада; 10 школ, в том числе  8 основных и 2 средних; 4 учреждения дополнительного образования – ДЮСШ, ДДТ, ДШИ, МУК;  информационно - методический центр при районном управлении образования. </w:t>
            </w:r>
          </w:p>
          <w:p w14:paraId="156ADC14"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За счет расходов на социальную политику были профинансированы:</w:t>
            </w:r>
          </w:p>
          <w:p w14:paraId="3F89B585"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расходы на доплаты к пенсиям муниципальных служащих;</w:t>
            </w:r>
          </w:p>
          <w:p w14:paraId="21058962"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расходы на социальную поддержку населения. Охвачено 394 человек, из них возмещение по коммунальным услугам работникам образования 206, культуры, проживающих в сельской местности 55 человека; частично возмещены расходы за содержание в ДДУ на 133 детей; </w:t>
            </w:r>
          </w:p>
          <w:p w14:paraId="6C7434D0"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по социальному обслуживанию детей сирот выплачивалась заработная плата 22 приемным родителям и пособие на содержание 34 детей-сирот и детей оставшихся без попечения родителей.</w:t>
            </w:r>
          </w:p>
          <w:p w14:paraId="411B02F4"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по переданным полномочиям по обеспечению прав детей-сирот, оставшихся без попечения родителей, лиц из числа детей-сирот и детей оставшихся без попечения родителей, на жилое помещение, приобретена 1 квартира на сумму 754 000,00 рублей.</w:t>
            </w:r>
          </w:p>
          <w:p w14:paraId="444D19FD"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В Кильмезском районе действует 40 муниципальных заказчиков. Для муниципальных нужд заказчиками были размещены закупки на поставку электрической энергии, холодное водоснабжение, теплоснабжение, откачку нечистот из канализационных ям, а также закупки по приобретению жилых помещений для предоставления детям-сиротам, по приобретению легкового автомобиля, закупки на выполнение работ связанных с осуществлением регулярных пассажирских перевозок, закупки на выполнение работ по содержанию автомобильных дорог общего пользования местного значения, закупки </w:t>
            </w:r>
            <w:r>
              <w:rPr>
                <w:rFonts w:ascii="Times New Roman" w:eastAsia="Times New Roman" w:hAnsi="Times New Roman" w:cs="Times New Roman"/>
                <w:color w:val="000000"/>
                <w:sz w:val="24"/>
                <w:szCs w:val="24"/>
              </w:rPr>
              <w:lastRenderedPageBreak/>
              <w:t xml:space="preserve">выполнения комплексных кадастровых работ, закупка на изготовление и поставку рояля и пианино для ДШИ, капитальный ремонт системы электроснабжения МКДОУ д/с «Солнышко», благоустройство кладбища д. </w:t>
            </w:r>
            <w:proofErr w:type="spellStart"/>
            <w:r>
              <w:rPr>
                <w:rFonts w:ascii="Times New Roman" w:eastAsia="Times New Roman" w:hAnsi="Times New Roman" w:cs="Times New Roman"/>
                <w:color w:val="000000"/>
                <w:sz w:val="24"/>
                <w:szCs w:val="24"/>
              </w:rPr>
              <w:t>Дамаскино</w:t>
            </w:r>
            <w:proofErr w:type="spellEnd"/>
            <w:r>
              <w:rPr>
                <w:rFonts w:ascii="Times New Roman" w:eastAsia="Times New Roman" w:hAnsi="Times New Roman" w:cs="Times New Roman"/>
                <w:color w:val="000000"/>
                <w:sz w:val="24"/>
                <w:szCs w:val="24"/>
              </w:rPr>
              <w:t xml:space="preserve">, частичный капитальный ремонт водопроводной башни д. Б. </w:t>
            </w:r>
            <w:proofErr w:type="spellStart"/>
            <w:r>
              <w:rPr>
                <w:rFonts w:ascii="Times New Roman" w:eastAsia="Times New Roman" w:hAnsi="Times New Roman" w:cs="Times New Roman"/>
                <w:color w:val="000000"/>
                <w:sz w:val="24"/>
                <w:szCs w:val="24"/>
              </w:rPr>
              <w:t>Порек</w:t>
            </w:r>
            <w:proofErr w:type="spellEnd"/>
            <w:r>
              <w:rPr>
                <w:rFonts w:ascii="Times New Roman" w:eastAsia="Times New Roman" w:hAnsi="Times New Roman" w:cs="Times New Roman"/>
                <w:color w:val="000000"/>
                <w:sz w:val="24"/>
                <w:szCs w:val="24"/>
              </w:rPr>
              <w:t xml:space="preserve"> и д. </w:t>
            </w:r>
            <w:proofErr w:type="spellStart"/>
            <w:r>
              <w:rPr>
                <w:rFonts w:ascii="Times New Roman" w:eastAsia="Times New Roman" w:hAnsi="Times New Roman" w:cs="Times New Roman"/>
                <w:color w:val="000000"/>
                <w:sz w:val="24"/>
                <w:szCs w:val="24"/>
              </w:rPr>
              <w:t>Вихарево</w:t>
            </w:r>
            <w:proofErr w:type="spellEnd"/>
            <w:r>
              <w:rPr>
                <w:rFonts w:ascii="Times New Roman" w:eastAsia="Times New Roman" w:hAnsi="Times New Roman" w:cs="Times New Roman"/>
                <w:color w:val="000000"/>
                <w:sz w:val="24"/>
                <w:szCs w:val="24"/>
              </w:rPr>
              <w:t>, выполнение работ по ликвидации свалки бытовых (коммунальных) отходов на территории Кильмезского района и т.д.</w:t>
            </w:r>
          </w:p>
          <w:p w14:paraId="5CEAE676"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Всего проведено 2756 закупок товаров, работ, услуг, из них 73 электронных аукциона, 13 закупок у единственного поставщика без проведения конкурентных способов определения поставщиков (подрядчиков, исполнителей), 2670 закупок малого объема.</w:t>
            </w:r>
          </w:p>
          <w:p w14:paraId="3A9817C2"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Совокупный годовой объем закупок на 2022 год составил 135479 тыс. руб.</w:t>
            </w:r>
          </w:p>
          <w:p w14:paraId="77D42D9D"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Суммарная начальная цена контрактов и договоров, выставленных </w:t>
            </w:r>
            <w:proofErr w:type="gramStart"/>
            <w:r>
              <w:rPr>
                <w:rFonts w:ascii="Times New Roman" w:eastAsia="Times New Roman" w:hAnsi="Times New Roman" w:cs="Times New Roman"/>
                <w:color w:val="000000"/>
                <w:sz w:val="24"/>
                <w:szCs w:val="24"/>
              </w:rPr>
              <w:t>на электронные аукционы</w:t>
            </w:r>
            <w:proofErr w:type="gramEnd"/>
            <w:r>
              <w:rPr>
                <w:rFonts w:ascii="Times New Roman" w:eastAsia="Times New Roman" w:hAnsi="Times New Roman" w:cs="Times New Roman"/>
                <w:color w:val="000000"/>
                <w:sz w:val="24"/>
                <w:szCs w:val="24"/>
              </w:rPr>
              <w:t xml:space="preserve"> составляет 91408 тыс. руб. Из них не привели к заключению контракта – 13 электронных аукционов на сумму -15471 тыс. руб. </w:t>
            </w:r>
          </w:p>
          <w:p w14:paraId="21E6CC75"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Общая стоимость контрактов 135101 тыс. </w:t>
            </w:r>
            <w:proofErr w:type="spellStart"/>
            <w:r>
              <w:rPr>
                <w:rFonts w:ascii="Times New Roman" w:eastAsia="Times New Roman" w:hAnsi="Times New Roman" w:cs="Times New Roman"/>
                <w:color w:val="000000"/>
                <w:sz w:val="24"/>
                <w:szCs w:val="24"/>
              </w:rPr>
              <w:t>руб</w:t>
            </w:r>
            <w:proofErr w:type="spellEnd"/>
            <w:r>
              <w:rPr>
                <w:rFonts w:ascii="Times New Roman" w:eastAsia="Times New Roman" w:hAnsi="Times New Roman" w:cs="Times New Roman"/>
                <w:color w:val="000000"/>
                <w:sz w:val="24"/>
                <w:szCs w:val="24"/>
              </w:rPr>
              <w:t xml:space="preserve">, из них 72211 тыс. рублей - стоимость контрактов, заключенных по результатам проведения электронных аукционов, 62890 </w:t>
            </w:r>
            <w:proofErr w:type="spellStart"/>
            <w:r>
              <w:rPr>
                <w:rFonts w:ascii="Times New Roman" w:eastAsia="Times New Roman" w:hAnsi="Times New Roman" w:cs="Times New Roman"/>
                <w:color w:val="000000"/>
                <w:sz w:val="24"/>
                <w:szCs w:val="24"/>
              </w:rPr>
              <w:t>тыс.руб</w:t>
            </w:r>
            <w:proofErr w:type="spellEnd"/>
            <w:r>
              <w:rPr>
                <w:rFonts w:ascii="Times New Roman" w:eastAsia="Times New Roman" w:hAnsi="Times New Roman" w:cs="Times New Roman"/>
                <w:color w:val="000000"/>
                <w:sz w:val="24"/>
                <w:szCs w:val="24"/>
              </w:rPr>
              <w:t xml:space="preserve"> - стоимость контрактов по закупкам у единственного поставщика без проведения конкурентных  способов определения поставщиков (подрядчиков, исполнителей), 664 тыс. руб. - стоимость контрактов по закупкам малого объема.</w:t>
            </w:r>
          </w:p>
          <w:p w14:paraId="2E3E780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b/>
                <w:color w:val="000000"/>
                <w:sz w:val="24"/>
                <w:szCs w:val="24"/>
              </w:rPr>
              <w:t>Раздел 3 «Анализ отчета об исполнении бюджета».</w:t>
            </w:r>
          </w:p>
          <w:p w14:paraId="2D90528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Консолидированный бюджет муниципального образования «Кильмезский муниципальный район» за 2022 год исполнен по доходам в сумме 427923383,07 рублей при годовых плановых назначениях 422392801 рубль или на 101,31</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w:t>
            </w:r>
          </w:p>
          <w:p w14:paraId="14B9F92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В структуре доходов консолидированного бюджета района удельный вес налоговых и неналоговых доходов составил 26,03%, безвозмездных поступлений 73,97 %.</w:t>
            </w:r>
          </w:p>
          <w:p w14:paraId="3D98224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Поступление налоговых и неналоговых доходов составило 111386654,91 рублей при годовом плане 103763680,00 рублей или 111,06%.</w:t>
            </w:r>
          </w:p>
          <w:p w14:paraId="1068318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Исполнение по налоговым платежам при годовом плане 76423200,00 рублей составило 83244133,66 рублей или 108,93 %. Основную долю в объеме налоговых доходов занимает налог, взимаемый в связи с применением упрощенной системы налогообложения-38,71 % или 32219685,34 рублей.</w:t>
            </w:r>
          </w:p>
          <w:p w14:paraId="08419856"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Неналоговых платежей поступило 28142521,25 рублей при годовом плане 27340480,00 рублей или 102,93%. Наибольший удельный вес в объеме неналоговых доходов занимают доходы от оказания платных услуг (работ) и компенсаций затрат государства-43,95 % или 12368384,53 рублей.</w:t>
            </w:r>
          </w:p>
          <w:p w14:paraId="577DD1D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Исполнение по безвозмездным поступлениям составило 316536728,16 рублей или 99,34% к годовому плану, из них по безвозмездным поступлениям от других бюджетов бюджетной системы -316426410,77 или 99,35%. </w:t>
            </w:r>
          </w:p>
          <w:p w14:paraId="10E8F516"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b/>
                <w:color w:val="000000"/>
                <w:sz w:val="24"/>
                <w:szCs w:val="24"/>
              </w:rPr>
              <w:t>Консолидированный бюджет Кильмезского района по расходам</w:t>
            </w:r>
            <w:r>
              <w:rPr>
                <w:rFonts w:ascii="Times New Roman" w:eastAsia="Times New Roman" w:hAnsi="Times New Roman" w:cs="Times New Roman"/>
                <w:color w:val="000000"/>
                <w:sz w:val="24"/>
                <w:szCs w:val="24"/>
              </w:rPr>
              <w:t xml:space="preserve"> за 2022 год исполнен в объеме 416 998 031,10 руб., что составляет 98 % к уточненному плану, или 107,6 % к первоначальным плановым назначениям.</w:t>
            </w:r>
          </w:p>
          <w:p w14:paraId="540F12C0"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Оплата принятых бюджетными учреждениями обязательств, вытекающих из договоров, исполнение которых осуществляется за счет средств бюджетов района, в 2022 году производилась в пределах выделенных лимитов бюджетных обязательств.</w:t>
            </w:r>
          </w:p>
          <w:p w14:paraId="614F2DB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Финансирование социально-культурной сферы составляет 62,2 % общего объема расходов бюджета. Поэтому можно сказать, что бюджет носит социально направленный характер. Отрасли социально-культурной сферы профинансированы по:</w:t>
            </w:r>
          </w:p>
          <w:p w14:paraId="3599706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lastRenderedPageBreak/>
              <w:t>- учреждениям образования в размере 99,1 % годовых назначений, получено средств из бюджета 194 830 944,78 руб. в сравнении с 2021 годом на 26 872 925,78 руб. больше;</w:t>
            </w:r>
          </w:p>
          <w:p w14:paraId="5A7A6F6B"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учреждениям культуры в размере 100,0 % и получили средств из бюджета 42 528 095,95 руб., в сравнении с 2021годом на 1 729 422,45 руб. больше; </w:t>
            </w:r>
          </w:p>
          <w:p w14:paraId="26113EB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по разделу здравоохранение финансирование расходов составило 100 %, в данном разделе произведены расходы по выполнению мероприятий муниципальной программы по профилактике </w:t>
            </w:r>
            <w:proofErr w:type="gramStart"/>
            <w:r>
              <w:rPr>
                <w:rFonts w:ascii="Times New Roman" w:eastAsia="Times New Roman" w:hAnsi="Times New Roman" w:cs="Times New Roman"/>
                <w:color w:val="000000"/>
                <w:sz w:val="24"/>
                <w:szCs w:val="24"/>
              </w:rPr>
              <w:t>наркомании  и</w:t>
            </w:r>
            <w:proofErr w:type="gramEnd"/>
            <w:r>
              <w:rPr>
                <w:rFonts w:ascii="Times New Roman" w:eastAsia="Times New Roman" w:hAnsi="Times New Roman" w:cs="Times New Roman"/>
                <w:color w:val="000000"/>
                <w:sz w:val="24"/>
                <w:szCs w:val="24"/>
              </w:rPr>
              <w:t xml:space="preserve"> табакокурению;</w:t>
            </w:r>
          </w:p>
          <w:p w14:paraId="7E9F494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по социальной политике израсходовано средств в 2022 году в сумме 21 823 840,37 руб. или 94,9 % от уточненного плана. Годовые ассигнования на выполнение публичных нормативных обязательств использованы на 93,5 %.        Кредиторская задолженность по возмещению компенсации части родительской платы за присмотр и уход за детьми в дошкольных учреждениях  на 01.01.2023 год 1155,00 руб., по уплате услуг банка 1545,88 руб., по назначению и выплате вознаграждения приемным родителям задолженности нет, по выплате отдельным категориям специалистов частичной компенсации на оплату жилого помещения и коммунальных услуг в виде ежемесячной выплаты кредиторская задолженность 1594,00 руб., кредиторская задолженность по возмещению коммунальных расходов педагогическим работникам перед  и услугам банка  по предоставлению реестров в сумме 22212,26 рублей.</w:t>
            </w:r>
          </w:p>
          <w:p w14:paraId="3FCAB9A7"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Неиспользованные остатки субвенций в общей сумме 72 451,28 руб., возвращены в областной бюджет в полном объеме.</w:t>
            </w:r>
          </w:p>
          <w:p w14:paraId="5F41108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На национальную оборону израсходовано 100 % </w:t>
            </w:r>
            <w:proofErr w:type="gramStart"/>
            <w:r>
              <w:rPr>
                <w:rFonts w:ascii="Times New Roman" w:eastAsia="Times New Roman" w:hAnsi="Times New Roman" w:cs="Times New Roman"/>
                <w:color w:val="000000"/>
                <w:sz w:val="24"/>
                <w:szCs w:val="24"/>
              </w:rPr>
              <w:t>ассигнований</w:t>
            </w:r>
            <w:proofErr w:type="gramEnd"/>
            <w:r>
              <w:rPr>
                <w:rFonts w:ascii="Times New Roman" w:eastAsia="Times New Roman" w:hAnsi="Times New Roman" w:cs="Times New Roman"/>
                <w:color w:val="000000"/>
                <w:sz w:val="24"/>
                <w:szCs w:val="24"/>
              </w:rPr>
              <w:t xml:space="preserve"> выделенных из федерального бюджета или 1 326 900,00 руб.</w:t>
            </w:r>
          </w:p>
          <w:p w14:paraId="5E25366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На национальную безопасность и правоохранительную деятельность</w:t>
            </w:r>
            <w:r>
              <w:rPr>
                <w:rFonts w:ascii="Times New Roman" w:eastAsia="Times New Roman" w:hAnsi="Times New Roman" w:cs="Times New Roman"/>
                <w:color w:val="000000"/>
                <w:sz w:val="24"/>
                <w:szCs w:val="24"/>
              </w:rPr>
              <w:br/>
              <w:t>направлено бюджетных средств 11 435 956,43 руб., освоение составляет 99,4 %. В данном разделе предусмотрены расходы на содержание восьми пожарных дружин в сельских поселениях, в трех сельских поселениях содержание ЗИЛ-131 (АРС), и на финансирование Единой Диспетчерской Службы при администрации района.</w:t>
            </w:r>
          </w:p>
          <w:p w14:paraId="54A61D2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 национальной экономике освоение составило 97,2 %, израсходовано средств из бюджета 59 229 580,14 руб., из них:</w:t>
            </w:r>
          </w:p>
          <w:p w14:paraId="03B989C3"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на поддержку сельского хозяйства израсходовано средств 195 000,00 руб. или 72,2 % годовых назначений, не в полном объеме использованы средства субвенции на выполнение мероприятий по обращению с животными в части организации мероприятий при осуществлении деятельности по обращению с животными без владельцев 75 000,00 руб.;</w:t>
            </w:r>
          </w:p>
          <w:p w14:paraId="7FE6A579" w14:textId="77777777" w:rsidR="00036A4C" w:rsidRDefault="00C400C1">
            <w:pPr>
              <w:ind w:firstLine="720"/>
              <w:jc w:val="both"/>
              <w:rPr>
                <w:rFonts w:ascii="Courier New" w:eastAsia="Courier New" w:hAnsi="Courier New" w:cs="Courier New"/>
              </w:rPr>
            </w:pPr>
            <w:r>
              <w:rPr>
                <w:rFonts w:ascii="Times New Roman" w:eastAsia="Times New Roman" w:hAnsi="Times New Roman" w:cs="Times New Roman"/>
                <w:color w:val="000000"/>
                <w:sz w:val="24"/>
                <w:szCs w:val="24"/>
              </w:rPr>
              <w:t>-на 97,2 % освоены средства, выделенные на ремонт и содержание автомобильных дорог общего пользования. При плане 56 954 373,00 руб., освоено 55 372 691,86 руб. Остаток неиспользованных ассигнований по расходам, дорожного фонда 1 581 681,14 руб., в том числе остатки муниципального района 144 200 руб., остатки поселений 1 437 500 руб. Освоение плановых назначений, в части поступления собственных доходов в дорожный фонд по муниципальному району 99,6 %, освоение плановых назначений по поселениям 93,3%.</w:t>
            </w:r>
          </w:p>
          <w:p w14:paraId="4E67168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-расходы по другим вопросам в области экономики составили 99,8% плановых назначений. </w:t>
            </w:r>
          </w:p>
          <w:p w14:paraId="63D837B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Расходы по отрасли жилищно-коммунального хозяйства составляют</w:t>
            </w:r>
            <w:r>
              <w:rPr>
                <w:rFonts w:ascii="Times New Roman" w:eastAsia="Times New Roman" w:hAnsi="Times New Roman" w:cs="Times New Roman"/>
                <w:color w:val="000000"/>
                <w:sz w:val="24"/>
                <w:szCs w:val="24"/>
              </w:rPr>
              <w:br/>
              <w:t xml:space="preserve">95,3 % годовых ассигнований. </w:t>
            </w:r>
          </w:p>
          <w:p w14:paraId="78DF7A2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Расходы на общегосударственные вопросы профинансированы за 2022 год на 97,3 % от уточненного плана, освоено средств в сумме 70 768 603,48 рублей. Нормативы по содержанию органов местного самоуправления соблюдены всеми </w:t>
            </w:r>
            <w:r>
              <w:rPr>
                <w:rFonts w:ascii="Times New Roman" w:eastAsia="Times New Roman" w:hAnsi="Times New Roman" w:cs="Times New Roman"/>
                <w:color w:val="000000"/>
                <w:sz w:val="24"/>
                <w:szCs w:val="24"/>
              </w:rPr>
              <w:lastRenderedPageBreak/>
              <w:t>муниципальными образованиями района. При доведенном правительством области нормативе 50 179 000,00 руб., расходы по консолидированному бюджету составили 46 131 700,00 руб.</w:t>
            </w:r>
          </w:p>
          <w:p w14:paraId="305DBC87"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 межбюджетным трансфертам передано поселениям из районного бюджета 24 491 900,00 руб.</w:t>
            </w:r>
          </w:p>
          <w:p w14:paraId="17164DD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b/>
                <w:color w:val="000000"/>
                <w:sz w:val="24"/>
                <w:szCs w:val="24"/>
              </w:rPr>
              <w:t>Раздел 4 «Анализ показателей финансовой отчетности».</w:t>
            </w:r>
          </w:p>
          <w:p w14:paraId="4DB5709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 ф.0503320» Баланс исполнения консолидированного бюджета субъекта РФ и бюджета территориального государственного внебюджетного фонда»</w:t>
            </w:r>
          </w:p>
          <w:p w14:paraId="44AE6817"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Остаток основных средств на 01.01.2022 года составил 344048424,64 руб., остаток на 01.01.2023 года 224738502,55 руб. </w:t>
            </w:r>
          </w:p>
          <w:p w14:paraId="71DC1C82"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Непроизведенные активы на 01.01.2022 года составили 283921547,24 рублей, на 01.01.2023 года 281045507,09 рублей, уменьшение составило 2876040,15 рублей. Имущество казны на 01.01.2023 года составило 147642287,55 рублей. </w:t>
            </w:r>
          </w:p>
          <w:p w14:paraId="243EA57C"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В форме 0503368G_БД по строке 560 «Вложения в объекты государственной(муниципальной) казны» отражены вложения в устройство детской спортивной площадки в Рыбно-</w:t>
            </w:r>
            <w:proofErr w:type="spellStart"/>
            <w:r>
              <w:rPr>
                <w:rFonts w:ascii="Times New Roman" w:eastAsia="Times New Roman" w:hAnsi="Times New Roman" w:cs="Times New Roman"/>
                <w:color w:val="000000"/>
                <w:sz w:val="24"/>
                <w:szCs w:val="24"/>
              </w:rPr>
              <w:t>Ватажском</w:t>
            </w:r>
            <w:proofErr w:type="spellEnd"/>
            <w:r>
              <w:rPr>
                <w:rFonts w:ascii="Times New Roman" w:eastAsia="Times New Roman" w:hAnsi="Times New Roman" w:cs="Times New Roman"/>
                <w:color w:val="000000"/>
                <w:sz w:val="24"/>
                <w:szCs w:val="24"/>
              </w:rPr>
              <w:t xml:space="preserve"> сельском поселении сумма 501904,00 руб., в приобретение скамейки для детской площадки в </w:t>
            </w:r>
            <w:proofErr w:type="spellStart"/>
            <w:r>
              <w:rPr>
                <w:rFonts w:ascii="Times New Roman" w:eastAsia="Times New Roman" w:hAnsi="Times New Roman" w:cs="Times New Roman"/>
                <w:color w:val="000000"/>
                <w:sz w:val="24"/>
                <w:szCs w:val="24"/>
              </w:rPr>
              <w:t>Зимнякском</w:t>
            </w:r>
            <w:proofErr w:type="spellEnd"/>
            <w:r>
              <w:rPr>
                <w:rFonts w:ascii="Times New Roman" w:eastAsia="Times New Roman" w:hAnsi="Times New Roman" w:cs="Times New Roman"/>
                <w:color w:val="000000"/>
                <w:sz w:val="24"/>
                <w:szCs w:val="24"/>
              </w:rPr>
              <w:t xml:space="preserve"> сельском поселении сумма 7000,00 руб., данное имущество составляет муниципальную казну поселений.</w:t>
            </w:r>
          </w:p>
          <w:p w14:paraId="125F3C13"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Остаток материальных запасов на конец 2022 </w:t>
            </w:r>
            <w:proofErr w:type="gramStart"/>
            <w:r>
              <w:rPr>
                <w:rFonts w:ascii="Times New Roman" w:eastAsia="Times New Roman" w:hAnsi="Times New Roman" w:cs="Times New Roman"/>
                <w:color w:val="000000"/>
                <w:sz w:val="24"/>
                <w:szCs w:val="24"/>
              </w:rPr>
              <w:t>года  составил</w:t>
            </w:r>
            <w:proofErr w:type="gramEnd"/>
            <w:r>
              <w:rPr>
                <w:rFonts w:ascii="Times New Roman" w:eastAsia="Times New Roman" w:hAnsi="Times New Roman" w:cs="Times New Roman"/>
                <w:color w:val="000000"/>
                <w:sz w:val="24"/>
                <w:szCs w:val="24"/>
              </w:rPr>
              <w:t xml:space="preserve"> 9099606,05 руб.</w:t>
            </w:r>
          </w:p>
          <w:p w14:paraId="6A9056F4"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В формах 410G и 410Gm в разделе по счету 040120241 на сумму 28529588,26 рублей отражены расходы текущего финансового года: субсидии 2-м бюджетным учреждениям (МБОУ ДО МУК </w:t>
            </w:r>
            <w:proofErr w:type="spellStart"/>
            <w:r>
              <w:rPr>
                <w:rFonts w:ascii="Times New Roman" w:eastAsia="Times New Roman" w:hAnsi="Times New Roman" w:cs="Times New Roman"/>
                <w:color w:val="000000"/>
                <w:sz w:val="24"/>
                <w:szCs w:val="24"/>
              </w:rPr>
              <w:t>пгт</w:t>
            </w:r>
            <w:proofErr w:type="spellEnd"/>
            <w:r>
              <w:rPr>
                <w:rFonts w:ascii="Times New Roman" w:eastAsia="Times New Roman" w:hAnsi="Times New Roman" w:cs="Times New Roman"/>
                <w:color w:val="000000"/>
                <w:sz w:val="24"/>
                <w:szCs w:val="24"/>
              </w:rPr>
              <w:t>. Кильмезь и МБУ РЦКД) на финансовое обеспечение муниципального задания (ВР 611,612).</w:t>
            </w:r>
          </w:p>
          <w:p w14:paraId="3E64B55E"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Кредиторская задолженность на 01.01.2023 г. составила 13631395,67 рублей, задолженность является текущей и будет погашена в очередном финансовом году.</w:t>
            </w:r>
          </w:p>
          <w:p w14:paraId="388EB21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Задолженность образовалась по следующим счетам:</w:t>
            </w:r>
          </w:p>
          <w:p w14:paraId="5553C9A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- 020511000 «Расчеты с плательщиками налоговых доходов» задолженность в сумме 1706943,79 рублей;</w:t>
            </w:r>
          </w:p>
          <w:p w14:paraId="0A6B80E2"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- 020531000 «Расчеты с плательщиками доходов от оказания платных услуг, работ» - 112814,03 руб. По окончании отчетного периода по факту посещения детьми ДУ произведен перерасчет платы за посещение, в результате чего образовалась текущая кредиторская задолженность по данным видам доходов;</w:t>
            </w:r>
          </w:p>
          <w:p w14:paraId="593C0B9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- 030211000 «Расчеты по оплате труда» 5055999,91 руб. образовалась по задолженности заработной платы перед работниками за 2 половину декабря 2021 года;</w:t>
            </w:r>
          </w:p>
          <w:p w14:paraId="6F9536C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- 030221000 «Расчеты по услугам связи» - задолженность учреждений в сумме 19046,14 руб. за оказанные услуги связи – Интернет, услуги местной и междугородной связи в декабре 2022 года. </w:t>
            </w:r>
          </w:p>
          <w:p w14:paraId="4A6386D3"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030223000 «Расчеты по коммунальным услугам» задолженность в сумме 1023946,94 руб. связана как с задолженностью за коммунальные услуги текущего года, оказанные учреждениям; </w:t>
            </w:r>
          </w:p>
          <w:p w14:paraId="6738235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- 030225000 ««Расчеты по работам, услугам по содержанию имущества» образовалась задолженность в сумме 45622,64 рублей </w:t>
            </w:r>
          </w:p>
          <w:p w14:paraId="6FB0C6E0"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- 030234000 «Увеличение стоимости материальных запасов» в сумме 493086,83 рублей </w:t>
            </w:r>
          </w:p>
          <w:p w14:paraId="6BCA6C65"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Задолженность по счету 030300000 «Расчеты по платежам в бюджеты» в размере 4958497,45 руб. страховые взносы, НДФЛ с заработной платы за декабрь 2022 года, транспортный налог, налог на имущество, земельный налог за 2022 год. </w:t>
            </w:r>
          </w:p>
          <w:p w14:paraId="4FAD439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lastRenderedPageBreak/>
              <w:t>Задолженность по счету 030305000 «Расчеты по прочим платежам в бюджет» в сумме 74851,28 рубля, в том числе кредиторская задолженность по поступлениям межбюджетных трансфертов 72451,28 рублей сложилась в сумме остатков неиспользованных средств.</w:t>
            </w:r>
          </w:p>
          <w:p w14:paraId="4507F803"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Также имеется кредиторская задолженность на счете 030403000 "Расчеты по платежам из бюджета с финансовыми органами» в сумме 76933,97 руб. образовалась по профсоюзным взносам с заработной платы за декабрь 2022 года.</w:t>
            </w:r>
          </w:p>
          <w:p w14:paraId="5DC26F5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040140000 «Доходы будущих периодов» в сумме 882456581,33 рублей.</w:t>
            </w:r>
          </w:p>
          <w:p w14:paraId="07365E2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040160000 «Резервы предстоящих расходов» в сумме 15992296,74 рублей в конце года начислены резервы по отпускам и страховым взносам.</w:t>
            </w:r>
          </w:p>
          <w:p w14:paraId="4BC7008B"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Дебиторская задолженность на 01.01.2023 г. составила 882541275,39 руб. Задолженность образовалась по следующим счетам:</w:t>
            </w:r>
          </w:p>
          <w:p w14:paraId="2C6CB06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- 020511000 «Расчеты с плательщиками налоговых доходов» задолженность в сумме 742297,52 рублей </w:t>
            </w:r>
          </w:p>
          <w:p w14:paraId="60B9674B"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- 020521000 «Расчеты с плательщиками доходов от собственности» в сумме 53612,25руб. образовалась задолженность за индивидуальными предпринимателями и юридическими лицами за аренду имущества;</w:t>
            </w:r>
          </w:p>
          <w:p w14:paraId="43BC8156"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-020523000 «Расчеты по доходам от платежей при пользовании природными ресурсами» в сумме 2353065,11 рублей отражена задолженность по арендной плате за земельные участки.</w:t>
            </w:r>
          </w:p>
          <w:p w14:paraId="31BA98F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- 020531000 «Расчеты с плательщиками доходов от оказания платных услуг, работ» - 1743215,15 </w:t>
            </w:r>
            <w:proofErr w:type="spellStart"/>
            <w:r>
              <w:rPr>
                <w:rFonts w:ascii="Times New Roman" w:eastAsia="Times New Roman" w:hAnsi="Times New Roman" w:cs="Times New Roman"/>
                <w:color w:val="000000"/>
                <w:sz w:val="24"/>
                <w:szCs w:val="24"/>
              </w:rPr>
              <w:t>руб</w:t>
            </w:r>
            <w:proofErr w:type="spellEnd"/>
            <w:r>
              <w:rPr>
                <w:rFonts w:ascii="Times New Roman" w:eastAsia="Times New Roman" w:hAnsi="Times New Roman" w:cs="Times New Roman"/>
                <w:color w:val="000000"/>
                <w:sz w:val="24"/>
                <w:szCs w:val="24"/>
              </w:rPr>
              <w:t xml:space="preserve"> в т.ч дебиторская задолженность по родительской плате 112814,03 рублей. По окончании отчетного периода по факту посещения детьми ДУ произведен расчет платы за посещение, в результате чего образовалась текущая дебиторская задолженность по данному виду доходов;</w:t>
            </w:r>
          </w:p>
          <w:p w14:paraId="5E8ACB3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-020535000 «Расчеты по условным арендным платежам» в сумме 13473,72 рублей расчеты по возмещению затрат на содержание имущества, полученного в аренду.</w:t>
            </w:r>
          </w:p>
          <w:p w14:paraId="0DA3D40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-020551000 «Расчеты по безвозмездным поступлениям текущего характера от других бюджетов бюджетной системы РФ» в сумме 875974010 рублей, дебиторская задолженность по доходам от межбюджетных трансфертов.</w:t>
            </w:r>
          </w:p>
          <w:p w14:paraId="6108F2F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-020561000 «Расчеты по безвозмездным поступлениям капитального характера от других бюджетов бюджетной системы РФ» в сумме 763600 рублей,</w:t>
            </w:r>
            <w:r>
              <w:rPr>
                <w:rFonts w:ascii="Calibri" w:eastAsia="Calibri" w:hAnsi="Calibri" w:cs="Calibri"/>
                <w:color w:val="000000"/>
                <w:sz w:val="24"/>
                <w:szCs w:val="24"/>
              </w:rPr>
              <w:t xml:space="preserve"> </w:t>
            </w:r>
            <w:r>
              <w:rPr>
                <w:rFonts w:ascii="Times New Roman" w:eastAsia="Times New Roman" w:hAnsi="Times New Roman" w:cs="Times New Roman"/>
                <w:color w:val="000000"/>
                <w:sz w:val="24"/>
                <w:szCs w:val="24"/>
              </w:rPr>
              <w:t>дебиторская задолженность по доходам от межбюджетных трансфертов.</w:t>
            </w:r>
          </w:p>
          <w:p w14:paraId="2F5DEE4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-020666000 «Расчеты по авансам по социальным пособиям и компенсации персоналу в денежной форме» в сумме 1827,98 рублей.</w:t>
            </w:r>
          </w:p>
          <w:p w14:paraId="418C1AD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-020621000 «Расчеты по выданным авансам за услуги связи» в сумме 35212,17 руб. </w:t>
            </w:r>
          </w:p>
          <w:p w14:paraId="36EEE1FB"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отражены авансовые платежи за услуги связи, предоставляемые в январе 2023 года, в рамках текущих договоров: предварительная оплата за пользование сетью Интернет по условиям заключенных договоров, переходящих на 2023 год, Необходимость образования указанной задолженности связано с обеспечением бесперебойной связи для оперативного решения вопросов производственной необходимости;</w:t>
            </w:r>
          </w:p>
          <w:p w14:paraId="05602A49" w14:textId="77777777" w:rsidR="00036A4C" w:rsidRDefault="00C400C1">
            <w:pPr>
              <w:ind w:firstLine="720"/>
              <w:jc w:val="both"/>
              <w:rPr>
                <w:rFonts w:ascii="Courier New" w:eastAsia="Courier New" w:hAnsi="Courier New" w:cs="Courier New"/>
              </w:rPr>
            </w:pPr>
            <w:r>
              <w:rPr>
                <w:rFonts w:ascii="Times New Roman" w:eastAsia="Times New Roman" w:hAnsi="Times New Roman" w:cs="Times New Roman"/>
                <w:color w:val="000000"/>
                <w:sz w:val="24"/>
                <w:szCs w:val="24"/>
              </w:rPr>
              <w:t>-020623000 «Расчеты по авансам по коммунальным услугам» задолженность в сумме 83940,07 рублей составляют оплаченные авансы за коммунальные услуги, выставленные энергоснабжающими организациями в декабре 2022 года;</w:t>
            </w:r>
          </w:p>
          <w:p w14:paraId="5542ECA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- 020634000 «Расчеты по авансам по приобретению материальных запасов» - отражены расчеты по авансовым платежам за ГСМ с ООО «</w:t>
            </w:r>
            <w:proofErr w:type="spellStart"/>
            <w:r>
              <w:rPr>
                <w:rFonts w:ascii="Times New Roman" w:eastAsia="Times New Roman" w:hAnsi="Times New Roman" w:cs="Times New Roman"/>
                <w:color w:val="000000"/>
                <w:sz w:val="24"/>
                <w:szCs w:val="24"/>
              </w:rPr>
              <w:t>Кильмезьнефтепродукт</w:t>
            </w:r>
            <w:proofErr w:type="spellEnd"/>
            <w:r>
              <w:rPr>
                <w:rFonts w:ascii="Times New Roman" w:eastAsia="Times New Roman" w:hAnsi="Times New Roman" w:cs="Times New Roman"/>
                <w:color w:val="000000"/>
                <w:sz w:val="24"/>
                <w:szCs w:val="24"/>
              </w:rPr>
              <w:t>» сумма 614015,21 рубль.</w:t>
            </w:r>
          </w:p>
          <w:p w14:paraId="037E0DC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lastRenderedPageBreak/>
              <w:t>-020821000 «Расчеты с подотчетными лицами по оплате услуг связи» 25503,42 руб. – выданы в подотчет   конверты и марки.</w:t>
            </w:r>
          </w:p>
          <w:p w14:paraId="15E4355C"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По состоянию на 01.01.2022 года по счету 30100000 муниципальный долг составлял 14 059 200 руб., в том числе: по кредиту  с ПАО Сбербанк России муниципальный контракт № 0140300046620000002-01 от 19.10.2020 г на сумму 20000000,00 руб., непогашенная часть 9 059 200 рублей, по кредиту с АО «Первый </w:t>
            </w:r>
            <w:proofErr w:type="spellStart"/>
            <w:r>
              <w:rPr>
                <w:rFonts w:ascii="Times New Roman" w:eastAsia="Times New Roman" w:hAnsi="Times New Roman" w:cs="Times New Roman"/>
                <w:color w:val="000000"/>
                <w:sz w:val="24"/>
                <w:szCs w:val="24"/>
              </w:rPr>
              <w:t>Дортрансбанк</w:t>
            </w:r>
            <w:proofErr w:type="spellEnd"/>
            <w:r>
              <w:rPr>
                <w:rFonts w:ascii="Times New Roman" w:eastAsia="Times New Roman" w:hAnsi="Times New Roman" w:cs="Times New Roman"/>
                <w:color w:val="000000"/>
                <w:sz w:val="24"/>
                <w:szCs w:val="24"/>
              </w:rPr>
              <w:t>» муниципальный контракт № 0140300046621000002-01 от 01.11.2021 г на сумму 11000000,00 руб., со сроком погашения до 30.10.2024 года, в 2021 году погашено 6 000 000 рублей, остаток долга по кредиту на 01.01.2022 года 5 000 000 рублей)</w:t>
            </w:r>
          </w:p>
          <w:p w14:paraId="6EDFD3A0"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В течение 2022 году уплата основного долга по кредитам составила 9 500 000 рублей, новых кредитов не привлекалось, остаток кредита АО «Первый </w:t>
            </w:r>
            <w:proofErr w:type="spellStart"/>
            <w:r>
              <w:rPr>
                <w:rFonts w:ascii="Times New Roman" w:eastAsia="Times New Roman" w:hAnsi="Times New Roman" w:cs="Times New Roman"/>
                <w:color w:val="000000"/>
                <w:sz w:val="24"/>
                <w:szCs w:val="24"/>
              </w:rPr>
              <w:t>Дортрансбанк</w:t>
            </w:r>
            <w:proofErr w:type="spellEnd"/>
            <w:r>
              <w:rPr>
                <w:rFonts w:ascii="Times New Roman" w:eastAsia="Times New Roman" w:hAnsi="Times New Roman" w:cs="Times New Roman"/>
                <w:color w:val="000000"/>
                <w:sz w:val="24"/>
                <w:szCs w:val="24"/>
              </w:rPr>
              <w:t>» погашен полностью, задолженность по кредиту ПАО Сбербанк России на 01.01.2023 года составила 4 559 200 рублей.</w:t>
            </w:r>
          </w:p>
          <w:p w14:paraId="1BC68CB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Обслуживание муниципального долга (проценты за пользование кредитом) составило 1 672 597,92 рублей.</w:t>
            </w:r>
          </w:p>
          <w:p w14:paraId="2B1168C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b/>
                <w:color w:val="000000"/>
                <w:sz w:val="24"/>
                <w:szCs w:val="24"/>
              </w:rPr>
              <w:t>Раздел 5 «Прочие вопросы деятельности»</w:t>
            </w:r>
          </w:p>
          <w:p w14:paraId="55EC7BE5"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Вопросы увеличения налоговой базы по налогам, формирующим местные бюджеты и легализации заработной платы  в 2022 году рассматривали межведомственная комиссия по легализации налоговой базы и обеспечению налоговых поступлений, утвержденная постановлением администрации Кильмезского района 30.12.2020 № 516 и межведомственная комиссия по вопросам ликвидации задолженности по заработной плате и легализации трудовых отношений, утвержденная постановлением администрации Кильмезского района от 15.04.2021 года № 157.</w:t>
            </w:r>
          </w:p>
          <w:p w14:paraId="6C59DA7A"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За 2022 год проведено 12 заседаний межведомственной комиссии по легализации налоговой базы и обеспечению налоговых поступлений. В части решения вопросов урегулирования задолженности по налоговым и неналоговым доходам на заседания комиссий было приглашено 178 должников – физических и юридических лиц. Сумма задолженности по налоговым и неналоговым платежам по приглашенным должникам составила 5169,0 тыс. рублей. Сумма погашенной задолженности за исследуемый период по должникам, явившимся и не явившимся, но добровольно погасившим задолженность, по итогам заседания комиссии составила 3136,5 тыс. рублей или 60,7 процента от общей суммы неплатежей.</w:t>
            </w:r>
          </w:p>
          <w:p w14:paraId="4E1F75CD" w14:textId="77777777" w:rsidR="00036A4C" w:rsidRDefault="00C400C1">
            <w:pPr>
              <w:jc w:val="both"/>
              <w:rPr>
                <w:rFonts w:ascii="Courier New" w:eastAsia="Courier New" w:hAnsi="Courier New" w:cs="Courier New"/>
              </w:rPr>
            </w:pPr>
            <w:r>
              <w:rPr>
                <w:rFonts w:ascii="Times New Roman" w:eastAsia="Times New Roman" w:hAnsi="Times New Roman" w:cs="Times New Roman"/>
                <w:color w:val="000000"/>
                <w:sz w:val="24"/>
                <w:szCs w:val="24"/>
              </w:rPr>
              <w:t xml:space="preserve">           Информация о заседаниях межведомственной комиссии, состоявшихся за исследуемый период, регулярно освещается на официальном сайте Администрации Кильмезского района. За 2022 год размещено на сайте администрации Кильмезского района 12 информаций по данной теме. Исполнение районного бюджета находится на постоянном контроле финансового управления, ежеквартально анализируется его доходная часть. </w:t>
            </w:r>
          </w:p>
          <w:p w14:paraId="27F72080"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На территории Кильмезского района в отчетном периоде есть объекты неиспользуемого имущества, находящегося в муниципальной собственности. (За 2022 год два объекта: гостиница и автостанция).</w:t>
            </w:r>
          </w:p>
          <w:p w14:paraId="4EA69EF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Муниципальный финансовый контроль в течение 2022 года осуществлялся в соответствии с постановлениями Правительства Российской Федерации:</w:t>
            </w:r>
          </w:p>
          <w:p w14:paraId="692D9371"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от 27.02.2020 №208 «Об утверждении Федерального стандарта внутреннего государственного (муниципального) финансового контроля «Планирование проверок, ревизий и обследований»;</w:t>
            </w:r>
          </w:p>
          <w:p w14:paraId="147E3FDA"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от 17.08.2020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w:t>
            </w:r>
          </w:p>
          <w:p w14:paraId="4A6453F4"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lastRenderedPageBreak/>
              <w:t>от 16.09.2020 №1478 «Об утверждении Федерального стандарта внутреннего государственного (муниципального) финансового контроля «Правила составления отчетности о результатах контрольной деятельности».</w:t>
            </w:r>
          </w:p>
          <w:p w14:paraId="05F5959B"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Для осуществления внутреннего муниципального финансового контроля в 2022 году были использованы методы проверка.</w:t>
            </w:r>
          </w:p>
          <w:p w14:paraId="3979063E"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В соответствии с планом контрольной деятельности в 2022 году в 3 муниципальных учреждениях были проведены контрольные мероприятия по теме «Проверка осуществления расходов на обеспечение выполнения функций казенного учреждения (государственного органа, органа местного самоуправления) и их отражения в бюджетном учете и отчетности» </w:t>
            </w:r>
          </w:p>
          <w:p w14:paraId="72F1556F"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В ходе проведенных контрольных процедур удалось выявить следующее:</w:t>
            </w:r>
          </w:p>
          <w:p w14:paraId="2F67662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Общий объем суммовых нарушений составил 3474,97 руб. (нарушения при исполнении бюджета по расходам 3474,97 руб.)</w:t>
            </w:r>
          </w:p>
          <w:p w14:paraId="2CC6D67D"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Общий объем не суммовых нарушений составил 0 единиц.</w:t>
            </w:r>
          </w:p>
          <w:p w14:paraId="631F3799"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xml:space="preserve">О фактах выявленных нарушений каждое муниципальное учреждение получило Представление. В течение установленного срока в письменной форме были предоставлены комментарии. Нарушения, исправление которых было возможно, ликвидированы: </w:t>
            </w:r>
          </w:p>
          <w:p w14:paraId="3FA4DFA5"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Нарушения при исполнении бюджета по расходам (в частности, нарушения, связанные с оплатой труда (3474,97 руб.). Суммы недоплаты выплачены – 3474,97 руб.  </w:t>
            </w:r>
          </w:p>
          <w:p w14:paraId="3324887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По итогам контрольных мероприятий для предотвращения нарушений с Учреждениями проведена учебно-консультационная работа.</w:t>
            </w:r>
          </w:p>
          <w:p w14:paraId="1B944108" w14:textId="77777777" w:rsidR="00036A4C" w:rsidRDefault="00C400C1">
            <w:pPr>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 </w:t>
            </w:r>
          </w:p>
          <w:p w14:paraId="218F96CA" w14:textId="77777777" w:rsidR="00036A4C" w:rsidRDefault="00C400C1">
            <w:pPr>
              <w:spacing w:line="274" w:lineRule="atLeast"/>
              <w:ind w:firstLine="700"/>
              <w:jc w:val="both"/>
              <w:rPr>
                <w:rFonts w:ascii="Courier New" w:eastAsia="Courier New" w:hAnsi="Courier New" w:cs="Courier New"/>
              </w:rPr>
            </w:pPr>
            <w:r>
              <w:rPr>
                <w:rFonts w:ascii="Times New Roman" w:eastAsia="Times New Roman" w:hAnsi="Times New Roman" w:cs="Times New Roman"/>
                <w:color w:val="000000"/>
                <w:sz w:val="24"/>
                <w:szCs w:val="24"/>
              </w:rPr>
              <w:t>Годовой отчет Кильмезского района по всем прилагающимся формам готов к проверке.</w:t>
            </w:r>
          </w:p>
          <w:tbl>
            <w:tblPr>
              <w:tblW w:w="937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6822"/>
              <w:gridCol w:w="2553"/>
            </w:tblGrid>
            <w:tr w:rsidR="00036A4C" w14:paraId="549A8108" w14:textId="77777777">
              <w:trPr>
                <w:trHeight w:val="282"/>
              </w:trPr>
              <w:tc>
                <w:tcPr>
                  <w:tcW w:w="9375" w:type="dxa"/>
                  <w:gridSpan w:val="2"/>
                  <w:tcBorders>
                    <w:top w:val="nil"/>
                    <w:left w:val="nil"/>
                    <w:bottom w:val="nil"/>
                    <w:right w:val="nil"/>
                  </w:tcBorders>
                  <w:tcMar>
                    <w:top w:w="0" w:type="dxa"/>
                    <w:left w:w="108" w:type="dxa"/>
                    <w:bottom w:w="0" w:type="dxa"/>
                    <w:right w:w="108" w:type="dxa"/>
                  </w:tcMar>
                  <w:vAlign w:val="bottom"/>
                  <w:hideMark/>
                </w:tcPr>
                <w:p w14:paraId="1C9896C8" w14:textId="77777777" w:rsidR="00036A4C" w:rsidRDefault="00C400C1">
                  <w:pPr>
                    <w:ind w:left="40"/>
                    <w:rPr>
                      <w:rFonts w:ascii="Courier New" w:eastAsia="Courier New" w:hAnsi="Courier New" w:cs="Courier New"/>
                    </w:rPr>
                  </w:pPr>
                  <w:r>
                    <w:rPr>
                      <w:rFonts w:ascii="Times New Roman" w:eastAsia="Times New Roman" w:hAnsi="Times New Roman" w:cs="Times New Roman"/>
                      <w:color w:val="000000"/>
                      <w:sz w:val="20"/>
                      <w:szCs w:val="20"/>
                    </w:rPr>
                    <w:t> </w:t>
                  </w:r>
                </w:p>
                <w:p w14:paraId="24DD3081" w14:textId="77777777" w:rsidR="00036A4C" w:rsidRDefault="00C400C1">
                  <w:pPr>
                    <w:ind w:left="40"/>
                    <w:rPr>
                      <w:rFonts w:ascii="Courier New" w:eastAsia="Courier New" w:hAnsi="Courier New" w:cs="Courier New"/>
                    </w:rPr>
                  </w:pPr>
                  <w:r>
                    <w:rPr>
                      <w:rFonts w:ascii="Times New Roman" w:eastAsia="Times New Roman" w:hAnsi="Times New Roman" w:cs="Times New Roman"/>
                      <w:color w:val="000000"/>
                      <w:sz w:val="20"/>
                      <w:szCs w:val="20"/>
                    </w:rPr>
                    <w:t xml:space="preserve">Руководитель                           ___________________ </w:t>
                  </w:r>
                  <w:r>
                    <w:rPr>
                      <w:rFonts w:ascii="Times New Roman" w:eastAsia="Times New Roman" w:hAnsi="Times New Roman" w:cs="Times New Roman"/>
                      <w:color w:val="000000"/>
                      <w:sz w:val="20"/>
                      <w:szCs w:val="20"/>
                      <w:u w:val="single"/>
                    </w:rPr>
                    <w:t xml:space="preserve">А.П. </w:t>
                  </w:r>
                  <w:proofErr w:type="spellStart"/>
                  <w:r>
                    <w:rPr>
                      <w:rFonts w:ascii="Times New Roman" w:eastAsia="Times New Roman" w:hAnsi="Times New Roman" w:cs="Times New Roman"/>
                      <w:color w:val="000000"/>
                      <w:sz w:val="20"/>
                      <w:szCs w:val="20"/>
                      <w:u w:val="single"/>
                    </w:rPr>
                    <w:t>Благодатских</w:t>
                  </w:r>
                  <w:proofErr w:type="spellEnd"/>
                </w:p>
              </w:tc>
            </w:tr>
            <w:tr w:rsidR="00036A4C" w14:paraId="6D7EE4D1" w14:textId="77777777">
              <w:trPr>
                <w:trHeight w:val="210"/>
              </w:trPr>
              <w:tc>
                <w:tcPr>
                  <w:tcW w:w="6822" w:type="dxa"/>
                  <w:tcBorders>
                    <w:top w:val="nil"/>
                    <w:left w:val="nil"/>
                    <w:bottom w:val="nil"/>
                    <w:right w:val="nil"/>
                  </w:tcBorders>
                  <w:tcMar>
                    <w:top w:w="0" w:type="dxa"/>
                    <w:left w:w="108" w:type="dxa"/>
                    <w:bottom w:w="0" w:type="dxa"/>
                    <w:right w:w="108" w:type="dxa"/>
                  </w:tcMar>
                  <w:vAlign w:val="bottom"/>
                  <w:hideMark/>
                </w:tcPr>
                <w:p w14:paraId="4654E447"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(подпись) (расшифровка подписи)</w:t>
                  </w:r>
                </w:p>
              </w:tc>
              <w:tc>
                <w:tcPr>
                  <w:tcW w:w="2553" w:type="dxa"/>
                  <w:tcBorders>
                    <w:top w:val="nil"/>
                    <w:left w:val="nil"/>
                    <w:bottom w:val="nil"/>
                    <w:right w:val="nil"/>
                  </w:tcBorders>
                  <w:tcMar>
                    <w:top w:w="0" w:type="dxa"/>
                    <w:left w:w="108" w:type="dxa"/>
                    <w:bottom w:w="0" w:type="dxa"/>
                    <w:right w:w="108" w:type="dxa"/>
                  </w:tcMar>
                  <w:vAlign w:val="bottom"/>
                  <w:hideMark/>
                </w:tcPr>
                <w:p w14:paraId="41C63F80"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w:t>
                  </w:r>
                </w:p>
              </w:tc>
            </w:tr>
            <w:tr w:rsidR="00036A4C" w14:paraId="513592C5" w14:textId="77777777">
              <w:trPr>
                <w:trHeight w:val="450"/>
              </w:trPr>
              <w:tc>
                <w:tcPr>
                  <w:tcW w:w="9375" w:type="dxa"/>
                  <w:gridSpan w:val="2"/>
                  <w:tcBorders>
                    <w:top w:val="nil"/>
                    <w:left w:val="nil"/>
                    <w:bottom w:val="nil"/>
                    <w:right w:val="nil"/>
                  </w:tcBorders>
                  <w:tcMar>
                    <w:top w:w="0" w:type="dxa"/>
                    <w:left w:w="108" w:type="dxa"/>
                    <w:bottom w:w="0" w:type="dxa"/>
                    <w:right w:w="108" w:type="dxa"/>
                  </w:tcMar>
                  <w:vAlign w:val="bottom"/>
                  <w:hideMark/>
                </w:tcPr>
                <w:p w14:paraId="381D2588"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Руководитель планово-            ____________________</w:t>
                  </w:r>
                  <w:r>
                    <w:rPr>
                      <w:rFonts w:ascii="Times New Roman" w:eastAsia="Times New Roman" w:hAnsi="Times New Roman" w:cs="Times New Roman"/>
                      <w:color w:val="000000"/>
                      <w:sz w:val="20"/>
                      <w:szCs w:val="20"/>
                      <w:u w:val="single"/>
                    </w:rPr>
                    <w:t>Е.М. Лялина</w:t>
                  </w:r>
                  <w:r>
                    <w:rPr>
                      <w:rFonts w:ascii="Times New Roman" w:eastAsia="Times New Roman" w:hAnsi="Times New Roman" w:cs="Times New Roman"/>
                      <w:color w:val="000000"/>
                      <w:sz w:val="20"/>
                      <w:szCs w:val="20"/>
                    </w:rPr>
                    <w:t xml:space="preserve"> </w:t>
                  </w:r>
                </w:p>
              </w:tc>
            </w:tr>
            <w:tr w:rsidR="00036A4C" w14:paraId="019FAA84" w14:textId="77777777">
              <w:trPr>
                <w:trHeight w:val="225"/>
              </w:trPr>
              <w:tc>
                <w:tcPr>
                  <w:tcW w:w="9375" w:type="dxa"/>
                  <w:gridSpan w:val="2"/>
                  <w:tcBorders>
                    <w:top w:val="nil"/>
                    <w:left w:val="nil"/>
                    <w:bottom w:val="nil"/>
                    <w:right w:val="nil"/>
                  </w:tcBorders>
                  <w:tcMar>
                    <w:top w:w="0" w:type="dxa"/>
                    <w:left w:w="108" w:type="dxa"/>
                    <w:bottom w:w="0" w:type="dxa"/>
                    <w:right w:w="108" w:type="dxa"/>
                  </w:tcMar>
                  <w:vAlign w:val="bottom"/>
                  <w:hideMark/>
                </w:tcPr>
                <w:p w14:paraId="0F4C6A88" w14:textId="77777777" w:rsidR="00036A4C" w:rsidRDefault="00C400C1">
                  <w:pPr>
                    <w:ind w:left="40"/>
                    <w:rPr>
                      <w:rFonts w:ascii="Courier New" w:eastAsia="Courier New" w:hAnsi="Courier New" w:cs="Courier New"/>
                    </w:rPr>
                  </w:pPr>
                  <w:r>
                    <w:rPr>
                      <w:rFonts w:ascii="Times New Roman" w:eastAsia="Times New Roman" w:hAnsi="Times New Roman" w:cs="Times New Roman"/>
                      <w:color w:val="000000"/>
                      <w:sz w:val="20"/>
                      <w:szCs w:val="20"/>
                    </w:rPr>
                    <w:t>экономической службы            </w:t>
                  </w:r>
                  <w:proofErr w:type="gramStart"/>
                  <w:r>
                    <w:rPr>
                      <w:rFonts w:ascii="Times New Roman" w:eastAsia="Times New Roman" w:hAnsi="Times New Roman" w:cs="Times New Roman"/>
                      <w:color w:val="000000"/>
                      <w:sz w:val="20"/>
                      <w:szCs w:val="20"/>
                    </w:rPr>
                    <w:t>   (</w:t>
                  </w:r>
                  <w:proofErr w:type="gramEnd"/>
                  <w:r>
                    <w:rPr>
                      <w:rFonts w:ascii="Times New Roman" w:eastAsia="Times New Roman" w:hAnsi="Times New Roman" w:cs="Times New Roman"/>
                      <w:color w:val="000000"/>
                      <w:sz w:val="20"/>
                      <w:szCs w:val="20"/>
                    </w:rPr>
                    <w:t>подпись) (расшифровка подписи)</w:t>
                  </w:r>
                </w:p>
              </w:tc>
            </w:tr>
            <w:tr w:rsidR="00036A4C" w14:paraId="608BDE9A" w14:textId="77777777">
              <w:trPr>
                <w:trHeight w:val="282"/>
              </w:trPr>
              <w:tc>
                <w:tcPr>
                  <w:tcW w:w="6822" w:type="dxa"/>
                  <w:tcBorders>
                    <w:top w:val="nil"/>
                    <w:left w:val="nil"/>
                    <w:bottom w:val="nil"/>
                    <w:right w:val="nil"/>
                  </w:tcBorders>
                  <w:tcMar>
                    <w:top w:w="0" w:type="dxa"/>
                    <w:left w:w="108" w:type="dxa"/>
                    <w:bottom w:w="0" w:type="dxa"/>
                    <w:right w:w="108" w:type="dxa"/>
                  </w:tcMar>
                  <w:vAlign w:val="bottom"/>
                  <w:hideMark/>
                </w:tcPr>
                <w:p w14:paraId="655D4BE3"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Главный бухгалтер                   ___________________</w:t>
                  </w:r>
                </w:p>
              </w:tc>
              <w:tc>
                <w:tcPr>
                  <w:tcW w:w="2553" w:type="dxa"/>
                  <w:tcBorders>
                    <w:top w:val="nil"/>
                    <w:left w:val="nil"/>
                    <w:bottom w:val="nil"/>
                    <w:right w:val="nil"/>
                  </w:tcBorders>
                  <w:tcMar>
                    <w:top w:w="0" w:type="dxa"/>
                    <w:left w:w="108" w:type="dxa"/>
                    <w:bottom w:w="0" w:type="dxa"/>
                    <w:right w:w="108" w:type="dxa"/>
                  </w:tcMar>
                  <w:vAlign w:val="bottom"/>
                  <w:hideMark/>
                </w:tcPr>
                <w:p w14:paraId="47353DAD"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w:t>
                  </w:r>
                </w:p>
              </w:tc>
            </w:tr>
            <w:tr w:rsidR="00036A4C" w14:paraId="6A42FBE1" w14:textId="77777777">
              <w:trPr>
                <w:trHeight w:val="282"/>
              </w:trPr>
              <w:tc>
                <w:tcPr>
                  <w:tcW w:w="6822" w:type="dxa"/>
                  <w:tcBorders>
                    <w:top w:val="nil"/>
                    <w:left w:val="nil"/>
                    <w:bottom w:val="nil"/>
                    <w:right w:val="nil"/>
                  </w:tcBorders>
                  <w:tcMar>
                    <w:top w:w="0" w:type="dxa"/>
                    <w:left w:w="108" w:type="dxa"/>
                    <w:bottom w:w="0" w:type="dxa"/>
                    <w:right w:w="108" w:type="dxa"/>
                  </w:tcMar>
                  <w:vAlign w:val="bottom"/>
                  <w:hideMark/>
                </w:tcPr>
                <w:p w14:paraId="70E7A218" w14:textId="77777777" w:rsidR="00036A4C" w:rsidRDefault="00C400C1">
                  <w:pPr>
                    <w:ind w:left="40"/>
                    <w:rPr>
                      <w:rFonts w:ascii="Courier New" w:eastAsia="Courier New" w:hAnsi="Courier New" w:cs="Courier New"/>
                    </w:rPr>
                  </w:pPr>
                  <w:r>
                    <w:rPr>
                      <w:rFonts w:ascii="Times New Roman" w:eastAsia="Times New Roman" w:hAnsi="Times New Roman" w:cs="Times New Roman"/>
                      <w:color w:val="000000"/>
                      <w:sz w:val="20"/>
                      <w:szCs w:val="20"/>
                    </w:rPr>
                    <w:t>                                                        (подпись</w:t>
                  </w:r>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расшифровка подписи)</w:t>
                  </w:r>
                </w:p>
              </w:tc>
              <w:tc>
                <w:tcPr>
                  <w:tcW w:w="2553" w:type="dxa"/>
                  <w:tcBorders>
                    <w:top w:val="nil"/>
                    <w:left w:val="nil"/>
                    <w:bottom w:val="nil"/>
                    <w:right w:val="nil"/>
                  </w:tcBorders>
                  <w:tcMar>
                    <w:top w:w="0" w:type="dxa"/>
                    <w:left w:w="108" w:type="dxa"/>
                    <w:bottom w:w="0" w:type="dxa"/>
                    <w:right w:w="108" w:type="dxa"/>
                  </w:tcMar>
                  <w:vAlign w:val="bottom"/>
                  <w:hideMark/>
                </w:tcPr>
                <w:p w14:paraId="01425EFF"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 </w:t>
                  </w:r>
                </w:p>
              </w:tc>
            </w:tr>
            <w:tr w:rsidR="00036A4C" w14:paraId="0FC0F9A2" w14:textId="77777777">
              <w:trPr>
                <w:trHeight w:val="282"/>
              </w:trPr>
              <w:tc>
                <w:tcPr>
                  <w:tcW w:w="9375" w:type="dxa"/>
                  <w:gridSpan w:val="2"/>
                  <w:tcBorders>
                    <w:top w:val="nil"/>
                    <w:left w:val="nil"/>
                    <w:bottom w:val="nil"/>
                    <w:right w:val="nil"/>
                  </w:tcBorders>
                  <w:tcMar>
                    <w:top w:w="0" w:type="dxa"/>
                    <w:left w:w="108" w:type="dxa"/>
                    <w:bottom w:w="0" w:type="dxa"/>
                    <w:right w:w="108" w:type="dxa"/>
                  </w:tcMar>
                  <w:vAlign w:val="bottom"/>
                  <w:hideMark/>
                </w:tcPr>
                <w:p w14:paraId="26C5DD21"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0"/>
                      <w:szCs w:val="20"/>
                    </w:rPr>
                    <w:t>___16_</w:t>
                  </w:r>
                  <w:proofErr w:type="gramStart"/>
                  <w:r>
                    <w:rPr>
                      <w:rFonts w:ascii="Times New Roman" w:eastAsia="Times New Roman" w:hAnsi="Times New Roman" w:cs="Times New Roman"/>
                      <w:color w:val="000000"/>
                      <w:sz w:val="20"/>
                      <w:szCs w:val="20"/>
                    </w:rPr>
                    <w:t>февраля  2023</w:t>
                  </w:r>
                  <w:proofErr w:type="gramEnd"/>
                  <w:r>
                    <w:rPr>
                      <w:rFonts w:ascii="Times New Roman" w:eastAsia="Times New Roman" w:hAnsi="Times New Roman" w:cs="Times New Roman"/>
                      <w:color w:val="000000"/>
                      <w:sz w:val="20"/>
                      <w:szCs w:val="20"/>
                    </w:rPr>
                    <w:t xml:space="preserve"> г.</w:t>
                  </w:r>
                </w:p>
              </w:tc>
            </w:tr>
            <w:tr w:rsidR="00036A4C" w14:paraId="11224505" w14:textId="77777777">
              <w:trPr>
                <w:trHeight w:val="195"/>
              </w:trPr>
              <w:tc>
                <w:tcPr>
                  <w:tcW w:w="9375" w:type="dxa"/>
                  <w:gridSpan w:val="2"/>
                  <w:tcBorders>
                    <w:top w:val="nil"/>
                    <w:left w:val="nil"/>
                    <w:bottom w:val="nil"/>
                    <w:right w:val="nil"/>
                  </w:tcBorders>
                  <w:tcMar>
                    <w:top w:w="0" w:type="dxa"/>
                    <w:left w:w="108" w:type="dxa"/>
                    <w:bottom w:w="0" w:type="dxa"/>
                    <w:right w:w="108" w:type="dxa"/>
                  </w:tcMar>
                  <w:vAlign w:val="bottom"/>
                  <w:hideMark/>
                </w:tcPr>
                <w:p w14:paraId="793569A1" w14:textId="77777777" w:rsidR="00036A4C" w:rsidRDefault="00C400C1">
                  <w:pPr>
                    <w:ind w:left="40"/>
                    <w:rPr>
                      <w:rFonts w:ascii="Courier New" w:eastAsia="Courier New" w:hAnsi="Courier New" w:cs="Courier New"/>
                    </w:rPr>
                  </w:pPr>
                  <w:r>
                    <w:rPr>
                      <w:rFonts w:ascii="Times New Roman" w:eastAsia="Times New Roman" w:hAnsi="Times New Roman" w:cs="Times New Roman"/>
                      <w:color w:val="000000"/>
                      <w:sz w:val="24"/>
                      <w:szCs w:val="24"/>
                    </w:rPr>
                    <w:t> </w:t>
                  </w:r>
                </w:p>
              </w:tc>
            </w:tr>
            <w:tr w:rsidR="00036A4C" w14:paraId="6E0BE203" w14:textId="77777777" w:rsidTr="00437294">
              <w:trPr>
                <w:trHeight w:val="450"/>
              </w:trPr>
              <w:tc>
                <w:tcPr>
                  <w:tcW w:w="6822" w:type="dxa"/>
                  <w:tcBorders>
                    <w:top w:val="nil"/>
                    <w:left w:val="nil"/>
                    <w:bottom w:val="nil"/>
                    <w:right w:val="nil"/>
                  </w:tcBorders>
                  <w:tcMar>
                    <w:top w:w="0" w:type="dxa"/>
                    <w:left w:w="108" w:type="dxa"/>
                    <w:bottom w:w="0" w:type="dxa"/>
                    <w:right w:w="108" w:type="dxa"/>
                  </w:tcMar>
                  <w:vAlign w:val="bottom"/>
                </w:tcPr>
                <w:p w14:paraId="6ABE8A49" w14:textId="420B7AE9" w:rsidR="00036A4C" w:rsidRDefault="00437294" w:rsidP="00437294">
                  <w:pPr>
                    <w:rPr>
                      <w:rFonts w:ascii="Courier New" w:eastAsia="Courier New" w:hAnsi="Courier New" w:cs="Courier New"/>
                    </w:rPr>
                  </w:pPr>
                  <w:r>
                    <w:rPr>
                      <w:rFonts w:ascii="Times New Roman" w:eastAsia="Times New Roman" w:hAnsi="Times New Roman" w:cs="Times New Roman"/>
                      <w:sz w:val="24"/>
                      <w:szCs w:val="24"/>
                    </w:rPr>
                    <w:t>Документ подписан электронной подписью. Дата представления 16.03.2023</w:t>
                  </w:r>
                  <w:r>
                    <w:rPr>
                      <w:rFonts w:ascii="Times New Roman" w:eastAsia="Times New Roman" w:hAnsi="Times New Roman" w:cs="Times New Roman"/>
                      <w:sz w:val="24"/>
                      <w:szCs w:val="24"/>
                    </w:rPr>
                    <w:br/>
                    <w:t>Ответственный</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Благодатских</w:t>
                  </w:r>
                  <w:proofErr w:type="spellEnd"/>
                  <w:r>
                    <w:rPr>
                      <w:rFonts w:ascii="Times New Roman" w:eastAsia="Times New Roman" w:hAnsi="Times New Roman" w:cs="Times New Roman"/>
                      <w:sz w:val="24"/>
                      <w:szCs w:val="24"/>
                    </w:rPr>
                    <w:t xml:space="preserve"> Алевтина Павловна, Действителен: с 24.06.2022 по 17.09.2023)   </w:t>
                  </w:r>
                </w:p>
              </w:tc>
              <w:tc>
                <w:tcPr>
                  <w:tcW w:w="2553" w:type="dxa"/>
                  <w:tcBorders>
                    <w:top w:val="nil"/>
                    <w:left w:val="nil"/>
                    <w:bottom w:val="nil"/>
                    <w:right w:val="nil"/>
                  </w:tcBorders>
                  <w:tcMar>
                    <w:top w:w="0" w:type="dxa"/>
                    <w:left w:w="108" w:type="dxa"/>
                    <w:bottom w:w="0" w:type="dxa"/>
                    <w:right w:w="108" w:type="dxa"/>
                  </w:tcMar>
                  <w:vAlign w:val="bottom"/>
                  <w:hideMark/>
                </w:tcPr>
                <w:p w14:paraId="2ACBF893"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4"/>
                      <w:szCs w:val="24"/>
                    </w:rPr>
                    <w:t> </w:t>
                  </w:r>
                </w:p>
              </w:tc>
            </w:tr>
          </w:tbl>
          <w:p w14:paraId="58EA7949" w14:textId="77777777" w:rsidR="00036A4C" w:rsidRDefault="00036A4C">
            <w:pPr>
              <w:rPr>
                <w:rFonts w:ascii="Courier New" w:eastAsia="Courier New" w:hAnsi="Courier New" w:cs="Courier New"/>
              </w:rPr>
            </w:pPr>
          </w:p>
        </w:tc>
      </w:tr>
      <w:tr w:rsidR="00036A4C" w14:paraId="7F960F6A" w14:textId="77777777">
        <w:trPr>
          <w:trHeight w:val="405"/>
        </w:trPr>
        <w:tc>
          <w:tcPr>
            <w:tcW w:w="5425" w:type="dxa"/>
            <w:tcBorders>
              <w:top w:val="nil"/>
              <w:left w:val="nil"/>
              <w:bottom w:val="nil"/>
              <w:right w:val="nil"/>
            </w:tcBorders>
            <w:tcMar>
              <w:top w:w="0" w:type="dxa"/>
              <w:left w:w="108" w:type="dxa"/>
              <w:bottom w:w="0" w:type="dxa"/>
              <w:right w:w="108" w:type="dxa"/>
            </w:tcMar>
            <w:vAlign w:val="center"/>
            <w:hideMark/>
          </w:tcPr>
          <w:p w14:paraId="2ED26AF4"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lastRenderedPageBreak/>
              <w:t> </w:t>
            </w:r>
          </w:p>
        </w:tc>
        <w:tc>
          <w:tcPr>
            <w:tcW w:w="1237" w:type="dxa"/>
            <w:tcBorders>
              <w:top w:val="nil"/>
              <w:left w:val="nil"/>
              <w:bottom w:val="nil"/>
              <w:right w:val="nil"/>
            </w:tcBorders>
            <w:tcMar>
              <w:top w:w="0" w:type="dxa"/>
              <w:left w:w="108" w:type="dxa"/>
              <w:bottom w:w="0" w:type="dxa"/>
              <w:right w:w="108" w:type="dxa"/>
            </w:tcMar>
            <w:vAlign w:val="center"/>
            <w:hideMark/>
          </w:tcPr>
          <w:p w14:paraId="595DEFED"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03CA3669"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10516B26" w14:textId="77777777">
        <w:trPr>
          <w:trHeight w:val="281"/>
        </w:trPr>
        <w:tc>
          <w:tcPr>
            <w:tcW w:w="5425" w:type="dxa"/>
            <w:tcBorders>
              <w:top w:val="nil"/>
              <w:left w:val="nil"/>
              <w:bottom w:val="nil"/>
              <w:right w:val="nil"/>
            </w:tcBorders>
            <w:tcMar>
              <w:top w:w="0" w:type="dxa"/>
              <w:left w:w="108" w:type="dxa"/>
              <w:bottom w:w="0" w:type="dxa"/>
              <w:right w:w="108" w:type="dxa"/>
            </w:tcMar>
            <w:vAlign w:val="center"/>
            <w:hideMark/>
          </w:tcPr>
          <w:p w14:paraId="3ADA5B55"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1237" w:type="dxa"/>
            <w:tcBorders>
              <w:top w:val="nil"/>
              <w:left w:val="nil"/>
              <w:bottom w:val="nil"/>
              <w:right w:val="nil"/>
            </w:tcBorders>
            <w:tcMar>
              <w:top w:w="0" w:type="dxa"/>
              <w:left w:w="108" w:type="dxa"/>
              <w:bottom w:w="0" w:type="dxa"/>
              <w:right w:w="108" w:type="dxa"/>
            </w:tcMar>
            <w:vAlign w:val="center"/>
            <w:hideMark/>
          </w:tcPr>
          <w:p w14:paraId="65EE8F3D"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0BF9FC51"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030D8908" w14:textId="77777777">
        <w:trPr>
          <w:trHeight w:val="281"/>
        </w:trPr>
        <w:tc>
          <w:tcPr>
            <w:tcW w:w="5425" w:type="dxa"/>
            <w:tcBorders>
              <w:top w:val="nil"/>
              <w:left w:val="nil"/>
              <w:bottom w:val="nil"/>
              <w:right w:val="nil"/>
            </w:tcBorders>
            <w:tcMar>
              <w:top w:w="0" w:type="dxa"/>
              <w:left w:w="108" w:type="dxa"/>
              <w:bottom w:w="0" w:type="dxa"/>
              <w:right w:w="108" w:type="dxa"/>
            </w:tcMar>
            <w:vAlign w:val="center"/>
            <w:hideMark/>
          </w:tcPr>
          <w:p w14:paraId="1E883B5E"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lastRenderedPageBreak/>
              <w:t> </w:t>
            </w:r>
          </w:p>
        </w:tc>
        <w:tc>
          <w:tcPr>
            <w:tcW w:w="1237" w:type="dxa"/>
            <w:tcBorders>
              <w:top w:val="nil"/>
              <w:left w:val="nil"/>
              <w:bottom w:val="nil"/>
              <w:right w:val="nil"/>
            </w:tcBorders>
            <w:tcMar>
              <w:top w:w="0" w:type="dxa"/>
              <w:left w:w="108" w:type="dxa"/>
              <w:bottom w:w="0" w:type="dxa"/>
              <w:right w:w="108" w:type="dxa"/>
            </w:tcMar>
            <w:vAlign w:val="center"/>
            <w:hideMark/>
          </w:tcPr>
          <w:p w14:paraId="6B5A3F37"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0038186C"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60BB5DB9" w14:textId="77777777">
        <w:trPr>
          <w:trHeight w:val="281"/>
        </w:trPr>
        <w:tc>
          <w:tcPr>
            <w:tcW w:w="5425" w:type="dxa"/>
            <w:tcBorders>
              <w:top w:val="nil"/>
              <w:left w:val="nil"/>
              <w:bottom w:val="nil"/>
              <w:right w:val="nil"/>
            </w:tcBorders>
            <w:tcMar>
              <w:top w:w="0" w:type="dxa"/>
              <w:left w:w="108" w:type="dxa"/>
              <w:bottom w:w="0" w:type="dxa"/>
              <w:right w:w="108" w:type="dxa"/>
            </w:tcMar>
            <w:vAlign w:val="center"/>
            <w:hideMark/>
          </w:tcPr>
          <w:p w14:paraId="394EA850"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1237" w:type="dxa"/>
            <w:tcBorders>
              <w:top w:val="nil"/>
              <w:left w:val="nil"/>
              <w:bottom w:val="nil"/>
              <w:right w:val="nil"/>
            </w:tcBorders>
            <w:tcMar>
              <w:top w:w="0" w:type="dxa"/>
              <w:left w:w="108" w:type="dxa"/>
              <w:bottom w:w="0" w:type="dxa"/>
              <w:right w:w="108" w:type="dxa"/>
            </w:tcMar>
            <w:vAlign w:val="center"/>
            <w:hideMark/>
          </w:tcPr>
          <w:p w14:paraId="199BD3F4"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0A1EF576"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29547F2B" w14:textId="77777777">
        <w:trPr>
          <w:trHeight w:val="281"/>
        </w:trPr>
        <w:tc>
          <w:tcPr>
            <w:tcW w:w="0" w:type="auto"/>
            <w:gridSpan w:val="4"/>
            <w:tcBorders>
              <w:top w:val="nil"/>
              <w:left w:val="nil"/>
              <w:bottom w:val="nil"/>
              <w:right w:val="nil"/>
            </w:tcBorders>
            <w:tcMar>
              <w:top w:w="0" w:type="dxa"/>
              <w:left w:w="108" w:type="dxa"/>
              <w:bottom w:w="0" w:type="dxa"/>
              <w:right w:w="108" w:type="dxa"/>
            </w:tcMar>
            <w:vAlign w:val="bottom"/>
            <w:hideMark/>
          </w:tcPr>
          <w:p w14:paraId="0F076258"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0C7AF042" w14:textId="77777777">
        <w:trPr>
          <w:trHeight w:val="405"/>
        </w:trPr>
        <w:tc>
          <w:tcPr>
            <w:tcW w:w="5425" w:type="dxa"/>
            <w:tcBorders>
              <w:top w:val="nil"/>
              <w:left w:val="nil"/>
              <w:bottom w:val="nil"/>
              <w:right w:val="nil"/>
            </w:tcBorders>
            <w:tcMar>
              <w:top w:w="0" w:type="dxa"/>
              <w:left w:w="108" w:type="dxa"/>
              <w:bottom w:w="0" w:type="dxa"/>
              <w:right w:w="108" w:type="dxa"/>
            </w:tcMar>
            <w:vAlign w:val="center"/>
            <w:hideMark/>
          </w:tcPr>
          <w:p w14:paraId="299F6D1D"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1237" w:type="dxa"/>
            <w:tcBorders>
              <w:top w:val="nil"/>
              <w:left w:val="nil"/>
              <w:bottom w:val="nil"/>
              <w:right w:val="nil"/>
            </w:tcBorders>
            <w:tcMar>
              <w:top w:w="0" w:type="dxa"/>
              <w:left w:w="108" w:type="dxa"/>
              <w:bottom w:w="0" w:type="dxa"/>
              <w:right w:w="108" w:type="dxa"/>
            </w:tcMar>
            <w:vAlign w:val="center"/>
            <w:hideMark/>
          </w:tcPr>
          <w:p w14:paraId="6429B8DD"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2FA5F37E"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51007E8B" w14:textId="77777777">
        <w:trPr>
          <w:trHeight w:val="281"/>
        </w:trPr>
        <w:tc>
          <w:tcPr>
            <w:tcW w:w="5425" w:type="dxa"/>
            <w:tcBorders>
              <w:top w:val="nil"/>
              <w:left w:val="nil"/>
              <w:bottom w:val="nil"/>
              <w:right w:val="nil"/>
            </w:tcBorders>
            <w:tcMar>
              <w:top w:w="0" w:type="dxa"/>
              <w:left w:w="108" w:type="dxa"/>
              <w:bottom w:w="0" w:type="dxa"/>
              <w:right w:w="108" w:type="dxa"/>
            </w:tcMar>
            <w:vAlign w:val="center"/>
            <w:hideMark/>
          </w:tcPr>
          <w:p w14:paraId="635FD264"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1237" w:type="dxa"/>
            <w:tcBorders>
              <w:top w:val="nil"/>
              <w:left w:val="nil"/>
              <w:bottom w:val="nil"/>
              <w:right w:val="nil"/>
            </w:tcBorders>
            <w:tcMar>
              <w:top w:w="0" w:type="dxa"/>
              <w:left w:w="108" w:type="dxa"/>
              <w:bottom w:w="0" w:type="dxa"/>
              <w:right w:w="108" w:type="dxa"/>
            </w:tcMar>
            <w:vAlign w:val="center"/>
            <w:hideMark/>
          </w:tcPr>
          <w:p w14:paraId="6E172BEE"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c>
          <w:tcPr>
            <w:tcW w:w="0" w:type="auto"/>
            <w:gridSpan w:val="2"/>
            <w:tcBorders>
              <w:top w:val="nil"/>
              <w:left w:val="nil"/>
              <w:bottom w:val="nil"/>
              <w:right w:val="nil"/>
            </w:tcBorders>
            <w:tcMar>
              <w:top w:w="0" w:type="dxa"/>
              <w:left w:w="108" w:type="dxa"/>
              <w:bottom w:w="0" w:type="dxa"/>
              <w:right w:w="108" w:type="dxa"/>
            </w:tcMar>
            <w:vAlign w:val="center"/>
            <w:hideMark/>
          </w:tcPr>
          <w:p w14:paraId="09FD2EFE" w14:textId="77777777" w:rsidR="00036A4C" w:rsidRDefault="00C400C1">
            <w:pPr>
              <w:jc w:val="center"/>
              <w:rPr>
                <w:rFonts w:ascii="Courier New" w:eastAsia="Courier New" w:hAnsi="Courier New" w:cs="Courier New"/>
              </w:rPr>
            </w:pPr>
            <w:r>
              <w:rPr>
                <w:rFonts w:ascii="Times New Roman" w:eastAsia="Times New Roman" w:hAnsi="Times New Roman" w:cs="Times New Roman"/>
                <w:color w:val="000000"/>
                <w:sz w:val="28"/>
                <w:szCs w:val="28"/>
              </w:rPr>
              <w:t> </w:t>
            </w:r>
          </w:p>
        </w:tc>
      </w:tr>
      <w:tr w:rsidR="00036A4C" w14:paraId="70F15DA0" w14:textId="77777777">
        <w:trPr>
          <w:trHeight w:val="281"/>
        </w:trPr>
        <w:tc>
          <w:tcPr>
            <w:tcW w:w="0" w:type="auto"/>
            <w:gridSpan w:val="4"/>
            <w:tcBorders>
              <w:top w:val="nil"/>
              <w:left w:val="nil"/>
              <w:bottom w:val="nil"/>
              <w:right w:val="nil"/>
            </w:tcBorders>
            <w:tcMar>
              <w:top w:w="0" w:type="dxa"/>
              <w:left w:w="108" w:type="dxa"/>
              <w:bottom w:w="0" w:type="dxa"/>
              <w:right w:w="108" w:type="dxa"/>
            </w:tcMar>
            <w:vAlign w:val="center"/>
            <w:hideMark/>
          </w:tcPr>
          <w:p w14:paraId="1B038426"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w:t>
            </w:r>
          </w:p>
        </w:tc>
      </w:tr>
    </w:tbl>
    <w:p w14:paraId="76A1A953" w14:textId="77777777" w:rsidR="00036A4C" w:rsidRDefault="00C400C1">
      <w:pPr>
        <w:rPr>
          <w:rFonts w:ascii="Courier New" w:eastAsia="Courier New" w:hAnsi="Courier New" w:cs="Courier New"/>
        </w:rPr>
      </w:pPr>
      <w:r>
        <w:rPr>
          <w:rFonts w:ascii="Times New Roman" w:eastAsia="Times New Roman" w:hAnsi="Times New Roman" w:cs="Times New Roman"/>
          <w:color w:val="000000"/>
          <w:sz w:val="28"/>
          <w:szCs w:val="28"/>
        </w:rPr>
        <w:t xml:space="preserve">        </w:t>
      </w:r>
    </w:p>
    <w:p w14:paraId="32E9CC11" w14:textId="77777777" w:rsidR="00036A4C" w:rsidRDefault="00C400C1">
      <w:pPr>
        <w:rPr>
          <w:rFonts w:ascii="Courier New" w:eastAsia="Courier New" w:hAnsi="Courier New" w:cs="Courier New"/>
        </w:rPr>
      </w:pPr>
      <w:r>
        <w:rPr>
          <w:rFonts w:ascii="Calibri" w:eastAsia="Calibri" w:hAnsi="Calibri" w:cs="Calibri"/>
          <w:color w:val="000000"/>
        </w:rPr>
        <w:t> </w:t>
      </w:r>
    </w:p>
    <w:p w14:paraId="4E4665D7" w14:textId="77777777" w:rsidR="00036A4C" w:rsidRDefault="00036A4C"/>
    <w:tbl>
      <w:tblPr>
        <w:tblW w:w="0" w:type="auto"/>
        <w:tblInd w:w="-709" w:type="dxa"/>
        <w:tblBorders>
          <w:top w:val="nil"/>
          <w:left w:val="nil"/>
          <w:bottom w:val="nil"/>
          <w:right w:val="nil"/>
        </w:tblBorders>
        <w:tblCellMar>
          <w:left w:w="0" w:type="dxa"/>
          <w:right w:w="0" w:type="dxa"/>
        </w:tblCellMar>
        <w:tblLook w:val="04A0" w:firstRow="1" w:lastRow="0" w:firstColumn="1" w:lastColumn="0" w:noHBand="0" w:noVBand="1"/>
      </w:tblPr>
      <w:tblGrid>
        <w:gridCol w:w="5661"/>
        <w:gridCol w:w="770"/>
        <w:gridCol w:w="770"/>
      </w:tblGrid>
      <w:tr w:rsidR="00036A4C" w14:paraId="4C7A9D2B" w14:textId="77777777" w:rsidTr="00437294">
        <w:trPr>
          <w:trHeight w:val="405"/>
        </w:trPr>
        <w:tc>
          <w:tcPr>
            <w:tcW w:w="3040" w:type="dxa"/>
            <w:tcMar>
              <w:top w:w="0" w:type="dxa"/>
              <w:left w:w="108" w:type="dxa"/>
              <w:bottom w:w="0" w:type="dxa"/>
              <w:right w:w="108" w:type="dxa"/>
            </w:tcMar>
            <w:vAlign w:val="center"/>
            <w:hideMark/>
          </w:tcPr>
          <w:p w14:paraId="7DBDD5C0" w14:textId="3BEFE50C" w:rsidR="00036A4C" w:rsidRDefault="00036A4C">
            <w:pP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76BE0F1F" w14:textId="77777777" w:rsidR="00036A4C" w:rsidRDefault="00036A4C">
            <w:pPr>
              <w:rPr>
                <w:sz w:val="24"/>
              </w:rPr>
            </w:pPr>
          </w:p>
        </w:tc>
        <w:tc>
          <w:tcPr>
            <w:tcW w:w="0" w:type="auto"/>
            <w:tcMar>
              <w:top w:w="0" w:type="dxa"/>
              <w:left w:w="108" w:type="dxa"/>
              <w:bottom w:w="0" w:type="dxa"/>
              <w:right w:w="108" w:type="dxa"/>
            </w:tcMar>
            <w:vAlign w:val="center"/>
          </w:tcPr>
          <w:p w14:paraId="74571983" w14:textId="30902807" w:rsidR="00036A4C" w:rsidRDefault="00036A4C">
            <w:pPr>
              <w:jc w:val="center"/>
              <w:rPr>
                <w:rFonts w:ascii="Times New Roman" w:eastAsia="Times New Roman" w:hAnsi="Times New Roman" w:cs="Times New Roman"/>
                <w:sz w:val="24"/>
              </w:rPr>
            </w:pPr>
          </w:p>
        </w:tc>
      </w:tr>
      <w:tr w:rsidR="00036A4C" w14:paraId="5F5BCF6F" w14:textId="77777777" w:rsidTr="00437294">
        <w:trPr>
          <w:trHeight w:val="281"/>
        </w:trPr>
        <w:tc>
          <w:tcPr>
            <w:tcW w:w="3040" w:type="dxa"/>
            <w:tcMar>
              <w:top w:w="0" w:type="dxa"/>
              <w:left w:w="108" w:type="dxa"/>
              <w:bottom w:w="0" w:type="dxa"/>
              <w:right w:w="108" w:type="dxa"/>
            </w:tcMar>
            <w:vAlign w:val="center"/>
            <w:hideMark/>
          </w:tcPr>
          <w:p w14:paraId="16EC47BA" w14:textId="77777777" w:rsidR="00036A4C" w:rsidRDefault="00036A4C">
            <w:pPr>
              <w:rPr>
                <w:sz w:val="24"/>
              </w:rPr>
            </w:pPr>
          </w:p>
        </w:tc>
        <w:tc>
          <w:tcPr>
            <w:tcW w:w="0" w:type="auto"/>
            <w:tcMar>
              <w:top w:w="0" w:type="dxa"/>
              <w:left w:w="108" w:type="dxa"/>
              <w:bottom w:w="0" w:type="dxa"/>
              <w:right w:w="108" w:type="dxa"/>
            </w:tcMar>
            <w:vAlign w:val="center"/>
          </w:tcPr>
          <w:p w14:paraId="01885A87" w14:textId="65FAD7A9" w:rsidR="00036A4C" w:rsidRDefault="00036A4C">
            <w:pPr>
              <w:jc w:val="cente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6705AA1C" w14:textId="255C6E29" w:rsidR="00036A4C" w:rsidRDefault="00036A4C">
            <w:pPr>
              <w:jc w:val="center"/>
              <w:rPr>
                <w:rFonts w:ascii="Times New Roman" w:eastAsia="Times New Roman" w:hAnsi="Times New Roman" w:cs="Times New Roman"/>
                <w:sz w:val="24"/>
              </w:rPr>
            </w:pPr>
          </w:p>
        </w:tc>
      </w:tr>
      <w:tr w:rsidR="00036A4C" w14:paraId="6A969F2E" w14:textId="77777777" w:rsidTr="00437294">
        <w:trPr>
          <w:trHeight w:val="281"/>
        </w:trPr>
        <w:tc>
          <w:tcPr>
            <w:tcW w:w="3040" w:type="dxa"/>
            <w:tcMar>
              <w:top w:w="0" w:type="dxa"/>
              <w:left w:w="108" w:type="dxa"/>
              <w:bottom w:w="0" w:type="dxa"/>
              <w:right w:w="108" w:type="dxa"/>
            </w:tcMar>
            <w:vAlign w:val="center"/>
          </w:tcPr>
          <w:p w14:paraId="6031C3C4" w14:textId="7D32D5C5" w:rsidR="00036A4C" w:rsidRDefault="00036A4C">
            <w:pP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70302C5D" w14:textId="77777777" w:rsidR="00036A4C" w:rsidRDefault="00036A4C">
            <w:pPr>
              <w:rPr>
                <w:sz w:val="24"/>
              </w:rPr>
            </w:pPr>
          </w:p>
        </w:tc>
        <w:tc>
          <w:tcPr>
            <w:tcW w:w="0" w:type="auto"/>
            <w:tcMar>
              <w:top w:w="0" w:type="dxa"/>
              <w:left w:w="108" w:type="dxa"/>
              <w:bottom w:w="0" w:type="dxa"/>
              <w:right w:w="108" w:type="dxa"/>
            </w:tcMar>
            <w:vAlign w:val="center"/>
          </w:tcPr>
          <w:p w14:paraId="0322D6C9" w14:textId="77777777" w:rsidR="00036A4C" w:rsidRDefault="00036A4C">
            <w:pPr>
              <w:rPr>
                <w:sz w:val="24"/>
              </w:rPr>
            </w:pPr>
          </w:p>
        </w:tc>
      </w:tr>
      <w:tr w:rsidR="00036A4C" w14:paraId="42594023" w14:textId="77777777" w:rsidTr="00437294">
        <w:trPr>
          <w:trHeight w:val="281"/>
        </w:trPr>
        <w:tc>
          <w:tcPr>
            <w:tcW w:w="3040" w:type="dxa"/>
            <w:tcMar>
              <w:top w:w="0" w:type="dxa"/>
              <w:left w:w="108" w:type="dxa"/>
              <w:bottom w:w="0" w:type="dxa"/>
              <w:right w:w="108" w:type="dxa"/>
            </w:tcMar>
            <w:vAlign w:val="center"/>
          </w:tcPr>
          <w:p w14:paraId="2F659077" w14:textId="223FF3A9" w:rsidR="00036A4C" w:rsidRDefault="00036A4C">
            <w:pP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6663ED29" w14:textId="501902E8" w:rsidR="00036A4C" w:rsidRDefault="00036A4C">
            <w:pPr>
              <w:jc w:val="cente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228E261F" w14:textId="63305425" w:rsidR="00036A4C" w:rsidRDefault="00036A4C">
            <w:pPr>
              <w:jc w:val="center"/>
              <w:rPr>
                <w:rFonts w:ascii="Times New Roman" w:eastAsia="Times New Roman" w:hAnsi="Times New Roman" w:cs="Times New Roman"/>
                <w:sz w:val="24"/>
              </w:rPr>
            </w:pPr>
          </w:p>
        </w:tc>
      </w:tr>
      <w:tr w:rsidR="00036A4C" w14:paraId="5EAEB934" w14:textId="77777777" w:rsidTr="00437294">
        <w:trPr>
          <w:trHeight w:val="281"/>
        </w:trPr>
        <w:tc>
          <w:tcPr>
            <w:tcW w:w="7201" w:type="dxa"/>
            <w:gridSpan w:val="3"/>
            <w:noWrap/>
            <w:tcMar>
              <w:top w:w="0" w:type="dxa"/>
              <w:left w:w="108" w:type="dxa"/>
              <w:bottom w:w="0" w:type="dxa"/>
              <w:right w:w="108" w:type="dxa"/>
            </w:tcMar>
            <w:vAlign w:val="bottom"/>
          </w:tcPr>
          <w:p w14:paraId="74FE667D" w14:textId="6A915499" w:rsidR="00036A4C" w:rsidRDefault="00036A4C">
            <w:pPr>
              <w:rPr>
                <w:rFonts w:ascii="Times New Roman" w:eastAsia="Times New Roman" w:hAnsi="Times New Roman" w:cs="Times New Roman"/>
                <w:sz w:val="24"/>
              </w:rPr>
            </w:pPr>
          </w:p>
        </w:tc>
      </w:tr>
      <w:tr w:rsidR="00036A4C" w14:paraId="4EB294CE" w14:textId="77777777" w:rsidTr="00437294">
        <w:trPr>
          <w:trHeight w:val="405"/>
        </w:trPr>
        <w:tc>
          <w:tcPr>
            <w:tcW w:w="3040" w:type="dxa"/>
            <w:tcMar>
              <w:top w:w="0" w:type="dxa"/>
              <w:left w:w="108" w:type="dxa"/>
              <w:bottom w:w="0" w:type="dxa"/>
              <w:right w:w="108" w:type="dxa"/>
            </w:tcMar>
            <w:vAlign w:val="center"/>
            <w:hideMark/>
          </w:tcPr>
          <w:p w14:paraId="7003DA07" w14:textId="0A734F13" w:rsidR="00036A4C" w:rsidRDefault="00036A4C">
            <w:pP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5ED02C16" w14:textId="77777777" w:rsidR="00036A4C" w:rsidRDefault="00036A4C">
            <w:pPr>
              <w:rPr>
                <w:sz w:val="24"/>
              </w:rPr>
            </w:pPr>
          </w:p>
        </w:tc>
        <w:tc>
          <w:tcPr>
            <w:tcW w:w="0" w:type="auto"/>
            <w:tcMar>
              <w:top w:w="0" w:type="dxa"/>
              <w:left w:w="108" w:type="dxa"/>
              <w:bottom w:w="0" w:type="dxa"/>
              <w:right w:w="108" w:type="dxa"/>
            </w:tcMar>
            <w:vAlign w:val="center"/>
          </w:tcPr>
          <w:p w14:paraId="73383768" w14:textId="64675503" w:rsidR="00036A4C" w:rsidRDefault="00036A4C">
            <w:pPr>
              <w:jc w:val="center"/>
              <w:rPr>
                <w:rFonts w:ascii="Times New Roman" w:eastAsia="Times New Roman" w:hAnsi="Times New Roman" w:cs="Times New Roman"/>
                <w:sz w:val="24"/>
              </w:rPr>
            </w:pPr>
          </w:p>
        </w:tc>
      </w:tr>
      <w:tr w:rsidR="00036A4C" w14:paraId="4E9598A8" w14:textId="77777777" w:rsidTr="00437294">
        <w:trPr>
          <w:trHeight w:val="281"/>
        </w:trPr>
        <w:tc>
          <w:tcPr>
            <w:tcW w:w="3040" w:type="dxa"/>
            <w:tcMar>
              <w:top w:w="0" w:type="dxa"/>
              <w:left w:w="108" w:type="dxa"/>
              <w:bottom w:w="0" w:type="dxa"/>
              <w:right w:w="108" w:type="dxa"/>
            </w:tcMar>
            <w:vAlign w:val="center"/>
            <w:hideMark/>
          </w:tcPr>
          <w:p w14:paraId="34037EC6" w14:textId="77777777" w:rsidR="00036A4C" w:rsidRDefault="00036A4C">
            <w:pPr>
              <w:rPr>
                <w:sz w:val="24"/>
              </w:rPr>
            </w:pPr>
          </w:p>
        </w:tc>
        <w:tc>
          <w:tcPr>
            <w:tcW w:w="0" w:type="auto"/>
            <w:tcMar>
              <w:top w:w="0" w:type="dxa"/>
              <w:left w:w="108" w:type="dxa"/>
              <w:bottom w:w="0" w:type="dxa"/>
              <w:right w:w="108" w:type="dxa"/>
            </w:tcMar>
            <w:vAlign w:val="center"/>
          </w:tcPr>
          <w:p w14:paraId="052346E7" w14:textId="726672AC" w:rsidR="00036A4C" w:rsidRDefault="00036A4C">
            <w:pPr>
              <w:jc w:val="cente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14:paraId="3563BEA5" w14:textId="6B352F5A" w:rsidR="00036A4C" w:rsidRDefault="00036A4C">
            <w:pPr>
              <w:jc w:val="center"/>
              <w:rPr>
                <w:rFonts w:ascii="Times New Roman" w:eastAsia="Times New Roman" w:hAnsi="Times New Roman" w:cs="Times New Roman"/>
                <w:sz w:val="24"/>
              </w:rPr>
            </w:pPr>
          </w:p>
        </w:tc>
      </w:tr>
      <w:tr w:rsidR="00036A4C" w14:paraId="29EABE8C" w14:textId="77777777" w:rsidTr="00437294">
        <w:trPr>
          <w:trHeight w:val="281"/>
        </w:trPr>
        <w:tc>
          <w:tcPr>
            <w:tcW w:w="7201" w:type="dxa"/>
            <w:gridSpan w:val="3"/>
            <w:tcMar>
              <w:top w:w="0" w:type="dxa"/>
              <w:left w:w="108" w:type="dxa"/>
              <w:bottom w:w="0" w:type="dxa"/>
              <w:right w:w="108" w:type="dxa"/>
            </w:tcMar>
            <w:vAlign w:val="center"/>
          </w:tcPr>
          <w:p w14:paraId="5C0E4144" w14:textId="5F4A2EBD" w:rsidR="00036A4C" w:rsidRDefault="00036A4C">
            <w:pPr>
              <w:rPr>
                <w:rFonts w:ascii="Times New Roman" w:eastAsia="Times New Roman" w:hAnsi="Times New Roman" w:cs="Times New Roman"/>
                <w:sz w:val="24"/>
              </w:rPr>
            </w:pPr>
          </w:p>
        </w:tc>
      </w:tr>
    </w:tbl>
    <w:p w14:paraId="03A1F238" w14:textId="77777777" w:rsidR="00437294" w:rsidRDefault="00437294"/>
    <w:sectPr w:rsidR="00437294">
      <w:pgSz w:w="15840" w:h="12240"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E49C0"/>
    <w:multiLevelType w:val="hybridMultilevel"/>
    <w:tmpl w:val="1B447278"/>
    <w:lvl w:ilvl="0" w:tplc="351BDF4D">
      <w:start w:val="1"/>
      <w:numFmt w:val="bullet"/>
      <w:lvlText w:val="·"/>
      <w:lvlJc w:val="left"/>
      <w:pPr>
        <w:ind w:left="720" w:hanging="360"/>
      </w:pPr>
      <w:rPr>
        <w:rFonts w:ascii="Symbol" w:eastAsia="Symbol" w:hAnsi="Symbol" w:cs="Symbol"/>
      </w:rPr>
    </w:lvl>
    <w:lvl w:ilvl="1" w:tplc="1F3F3CA7">
      <w:start w:val="1"/>
      <w:numFmt w:val="bullet"/>
      <w:lvlText w:val="o"/>
      <w:lvlJc w:val="left"/>
      <w:pPr>
        <w:ind w:left="1440" w:hanging="360"/>
      </w:pPr>
      <w:rPr>
        <w:rFonts w:ascii="Symbol" w:hAnsi="Symbol"/>
      </w:rPr>
    </w:lvl>
    <w:lvl w:ilvl="2" w:tplc="300EC468">
      <w:start w:val="1"/>
      <w:numFmt w:val="bullet"/>
      <w:lvlText w:val="·"/>
      <w:lvlJc w:val="left"/>
      <w:pPr>
        <w:ind w:left="2160" w:hanging="360"/>
      </w:pPr>
      <w:rPr>
        <w:rFonts w:ascii="Symbol" w:hAnsi="Symbol"/>
      </w:rPr>
    </w:lvl>
    <w:lvl w:ilvl="3" w:tplc="606EFDD7">
      <w:start w:val="1"/>
      <w:numFmt w:val="bullet"/>
      <w:lvlText w:val="o"/>
      <w:lvlJc w:val="left"/>
      <w:pPr>
        <w:ind w:left="2880" w:hanging="360"/>
      </w:pPr>
      <w:rPr>
        <w:rFonts w:ascii="Symbol" w:hAnsi="Symbol"/>
      </w:rPr>
    </w:lvl>
    <w:lvl w:ilvl="4" w:tplc="3AB7E09C">
      <w:start w:val="1"/>
      <w:numFmt w:val="bullet"/>
      <w:lvlText w:val="·"/>
      <w:lvlJc w:val="left"/>
      <w:pPr>
        <w:ind w:left="3600" w:hanging="360"/>
      </w:pPr>
      <w:rPr>
        <w:rFonts w:ascii="Symbol" w:hAnsi="Symbol"/>
      </w:rPr>
    </w:lvl>
    <w:lvl w:ilvl="5" w:tplc="1C67471D">
      <w:start w:val="1"/>
      <w:numFmt w:val="bullet"/>
      <w:lvlText w:val="o"/>
      <w:lvlJc w:val="left"/>
      <w:pPr>
        <w:ind w:left="4320" w:hanging="360"/>
      </w:pPr>
      <w:rPr>
        <w:rFonts w:ascii="Symbol" w:hAnsi="Symbol"/>
      </w:rPr>
    </w:lvl>
    <w:lvl w:ilvl="6" w:tplc="7A413899">
      <w:start w:val="1"/>
      <w:numFmt w:val="bullet"/>
      <w:lvlText w:val="·"/>
      <w:lvlJc w:val="left"/>
      <w:pPr>
        <w:ind w:left="5040" w:hanging="360"/>
      </w:pPr>
      <w:rPr>
        <w:rFonts w:ascii="Symbol" w:hAnsi="Symbol"/>
      </w:rPr>
    </w:lvl>
    <w:lvl w:ilvl="7" w:tplc="305CE2D6">
      <w:start w:val="1"/>
      <w:numFmt w:val="bullet"/>
      <w:lvlText w:val="o"/>
      <w:lvlJc w:val="left"/>
      <w:pPr>
        <w:ind w:left="5760" w:hanging="360"/>
      </w:pPr>
      <w:rPr>
        <w:rFonts w:ascii="Symbol" w:hAnsi="Symbol"/>
      </w:rPr>
    </w:lvl>
    <w:lvl w:ilvl="8" w:tplc="15585A26">
      <w:start w:val="1"/>
      <w:numFmt w:val="bullet"/>
      <w:lvlText w:val="·"/>
      <w:lvlJc w:val="left"/>
      <w:pPr>
        <w:ind w:left="648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4C"/>
    <w:rsid w:val="00036A4C"/>
    <w:rsid w:val="00437294"/>
    <w:rsid w:val="00C40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C4791"/>
  <w15:docId w15:val="{8D4B3FA3-E59B-4186-AA9C-9078C93C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3821</Words>
  <Characters>21784</Characters>
  <Application>Microsoft Office Word</Application>
  <DocSecurity>0</DocSecurity>
  <Lines>181</Lines>
  <Paragraphs>51</Paragraphs>
  <ScaleCrop>false</ScaleCrop>
  <Company/>
  <LinksUpToDate>false</LinksUpToDate>
  <CharactersWithSpaces>25554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2023-03-27T08:05:00Z</cp:lastPrinted>
  <dcterms:created xsi:type="dcterms:W3CDTF">2023-03-21T05:35:00Z</dcterms:created>
  <dcterms:modified xsi:type="dcterms:W3CDTF">2023-03-27T08:05:00Z</dcterms:modified>
</cp:coreProperties>
</file>